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ვებგვერდი</w:t>
      </w:r>
      <w:r>
        <w:rPr>
          <w:rFonts w:ascii="Sylfaen" w:hAnsi="Sylfaen" w:cs="Sylfaen"/>
        </w:rPr>
        <w:t>, 111221004, 21/12/2011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კოდი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020080010.05.001.016520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ზოგიერთი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სახდელისაგან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№12, 1984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421) 53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64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82-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82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82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128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128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ნოემბრამდე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აღსრულებულა</w:t>
      </w:r>
      <w:r>
        <w:rPr>
          <w:rFonts w:ascii="Sylfaen" w:hAnsi="Sylfaen" w:cs="Sylfaen"/>
        </w:rPr>
        <w:t>.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>: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53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82-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82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82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128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128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მრგვალი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სახერხი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საამქროს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ეწარმე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სახდელებისაგან</w:t>
      </w:r>
      <w:r>
        <w:rPr>
          <w:rFonts w:ascii="Sylfaen" w:hAnsi="Sylfaen" w:cs="Sylfaen"/>
        </w:rPr>
        <w:t>;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64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</w:t>
      </w:r>
      <w:r>
        <w:rPr>
          <w:rFonts w:ascii="Sylfaen" w:hAnsi="Sylfaen" w:cs="Sylfaen"/>
        </w:rPr>
        <w:t>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სახდელებისაგან</w:t>
      </w:r>
      <w:r>
        <w:rPr>
          <w:rFonts w:ascii="Sylfaen" w:hAnsi="Sylfaen" w:cs="Sylfaen"/>
        </w:rPr>
        <w:t>;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82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მრგვალი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სახერხი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საამქროს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სახდელებისაგან</w:t>
      </w:r>
      <w:r>
        <w:rPr>
          <w:rFonts w:ascii="Sylfaen" w:hAnsi="Sylfaen" w:cs="Sylfaen"/>
        </w:rPr>
        <w:t>.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</w:t>
      </w:r>
      <w:r>
        <w:rPr>
          <w:rFonts w:ascii="Sylfaen" w:hAnsi="Sylfaen" w:cs="Sylfaen"/>
        </w:rPr>
        <w:t>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აღუსრულებელ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ნაწილზე</w:t>
      </w:r>
      <w:r>
        <w:rPr>
          <w:rFonts w:ascii="Sylfaen" w:hAnsi="Sylfaen" w:cs="Sylfaen"/>
        </w:rPr>
        <w:t>.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 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</w:t>
      </w:r>
      <w:r>
        <w:rPr>
          <w:rFonts w:ascii="Sylfaen" w:hAnsi="Sylfaen" w:cs="Sylfaen"/>
        </w:rPr>
        <w:t>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გადაწყვიტონ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შეწყვიტონ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სფეროსთვი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მიკუთვნებული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>.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№5368-II</w:t>
      </w:r>
      <w:r>
        <w:rPr>
          <w:rFonts w:ascii="Sylfaen" w:hAnsi="Sylfaen" w:cs="Sylfaen"/>
        </w:rPr>
        <w:t>ს</w:t>
      </w:r>
    </w:p>
    <w:p w:rsidR="00000000" w:rsidRDefault="005B7EB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EBF"/>
    <w:rsid w:val="005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