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მიმდებარე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მწვანე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ნარგავებისა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22.</w:t>
      </w:r>
      <w:r>
        <w:rPr>
          <w:rFonts w:ascii="Sylfaen" w:hAnsi="Sylfaen" w:cs="Sylfaen"/>
          <w:sz w:val="20"/>
          <w:szCs w:val="20"/>
          <w:lang w:val="ka-GE" w:eastAsia="ka-GE"/>
        </w:rPr>
        <w:t>05</w:t>
      </w:r>
      <w:r>
        <w:rPr>
          <w:rFonts w:ascii="Sylfaen" w:hAnsi="Sylfaen" w:cs="Sylfaen"/>
          <w:sz w:val="20"/>
          <w:szCs w:val="20"/>
          <w:lang w:val="en-US"/>
        </w:rPr>
        <w:t>.2020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№5965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</w:t>
      </w:r>
      <w:r>
        <w:rPr>
          <w:rFonts w:ascii="Sylfaen" w:eastAsia="Times New Roman" w:hAnsi="Sylfaen" w:cs="Sylfaen"/>
          <w:lang w:val="ka-GE" w:eastAsia="ka-GE"/>
        </w:rPr>
        <w:t>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22.</w:t>
      </w:r>
      <w:r>
        <w:rPr>
          <w:rFonts w:ascii="Sylfaen" w:hAnsi="Sylfaen" w:cs="Sylfaen"/>
          <w:sz w:val="20"/>
          <w:szCs w:val="20"/>
          <w:lang w:val="ka-GE" w:eastAsia="ka-GE"/>
        </w:rPr>
        <w:t>05</w:t>
      </w:r>
      <w:r>
        <w:rPr>
          <w:rFonts w:ascii="Sylfaen" w:hAnsi="Sylfaen" w:cs="Sylfaen"/>
          <w:sz w:val="20"/>
          <w:szCs w:val="20"/>
          <w:lang w:val="en-US"/>
        </w:rPr>
        <w:t>.2020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№5965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hAnsi="Sylfaen" w:cs="Sylfaen"/>
          <w:sz w:val="20"/>
          <w:szCs w:val="20"/>
          <w:lang w:val="en-US"/>
        </w:rPr>
        <w:t>(28.12.2005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2554)</w:t>
      </w:r>
    </w:p>
    <w:p w:rsidR="00000000" w:rsidRDefault="00AA13D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მწვანე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ნარგავებით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მწვანე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ნარგავების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№6926)</w:t>
      </w:r>
    </w:p>
    <w:p w:rsidR="00000000" w:rsidRDefault="00AA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</w:t>
      </w:r>
      <w:r>
        <w:rPr>
          <w:rFonts w:ascii="Sylfaen" w:eastAsia="Times New Roman" w:hAnsi="Sylfaen" w:cs="Sylfaen"/>
          <w:lang w:val="ka-GE" w:eastAsia="ka-GE"/>
        </w:rPr>
        <w:t>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>22.</w:t>
      </w:r>
      <w:r>
        <w:rPr>
          <w:rFonts w:ascii="Sylfaen" w:hAnsi="Sylfaen" w:cs="Sylfaen"/>
          <w:sz w:val="20"/>
          <w:szCs w:val="20"/>
          <w:lang w:val="ka-GE" w:eastAsia="ka-GE"/>
        </w:rPr>
        <w:t>05</w:t>
      </w:r>
      <w:r>
        <w:rPr>
          <w:rFonts w:ascii="Sylfaen" w:hAnsi="Sylfaen" w:cs="Sylfaen"/>
          <w:sz w:val="20"/>
          <w:szCs w:val="20"/>
          <w:lang w:val="en-US"/>
        </w:rPr>
        <w:t>.2020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№5965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A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3.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(11.03.2011. </w:t>
      </w:r>
      <w:r>
        <w:rPr>
          <w:rFonts w:ascii="Sylfaen" w:eastAsia="Times New Roman" w:hAnsi="Sylfaen" w:cs="Sylfaen"/>
          <w:color w:val="222222"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4406)</w:t>
      </w:r>
    </w:p>
    <w:p w:rsidR="00000000" w:rsidRDefault="00AA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</w:t>
      </w:r>
      <w:r>
        <w:rPr>
          <w:rFonts w:ascii="Sylfaen" w:eastAsia="Times New Roman" w:hAnsi="Sylfaen" w:cs="Sylfaen"/>
          <w:lang w:val="ka-GE" w:eastAsia="ka-GE"/>
        </w:rPr>
        <w:t>ციპალური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>22.</w:t>
      </w:r>
      <w:r>
        <w:rPr>
          <w:rFonts w:ascii="Sylfaen" w:hAnsi="Sylfaen" w:cs="Sylfaen"/>
          <w:sz w:val="20"/>
          <w:szCs w:val="20"/>
          <w:lang w:val="ka-GE" w:eastAsia="ka-GE"/>
        </w:rPr>
        <w:t>05</w:t>
      </w:r>
      <w:r>
        <w:rPr>
          <w:rFonts w:ascii="Sylfaen" w:hAnsi="Sylfaen" w:cs="Sylfaen"/>
          <w:sz w:val="20"/>
          <w:szCs w:val="20"/>
          <w:lang w:val="en-US"/>
        </w:rPr>
        <w:t>.2020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№5965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A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AA13D1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color w:val="222222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A13D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A13D1">
      <w:pPr>
        <w:pStyle w:val="NoSpacing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ბიომრავალფეროვნებაზე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A13D1">
      <w:pPr>
        <w:pStyle w:val="NoSpacing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მოჭრილი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A13D1">
      <w:pPr>
        <w:pStyle w:val="NoSpacing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ბუჩქი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არამერქნიანი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A13D1">
      <w:pPr>
        <w:pStyle w:val="NoSpacing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ზეხმელი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ზრდაშეწყვეტილი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გამხმარი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A13D1">
      <w:pPr>
        <w:pStyle w:val="NoSpacing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ხმობადი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გამხმარია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A13D1">
      <w:pPr>
        <w:pStyle w:val="NoSpacing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დამპალი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გამომშრალი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მოფიტული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ფუტურო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სიმკვრივე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A13D1">
      <w:pPr>
        <w:pStyle w:val="NoSpacing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გადაბერებული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სწრაფმოზარდი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გადაბერებული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ხნოვანებას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მიაღწია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(40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ვერხვი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ტირიფი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AA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განკურნება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A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AA13D1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2(</w:t>
      </w:r>
      <w:r>
        <w:rPr>
          <w:rFonts w:ascii="Sylfaen" w:hAnsi="Sylfaen" w:cs="Sylfaen"/>
          <w:sz w:val="20"/>
          <w:szCs w:val="20"/>
          <w:lang w:val="en-US"/>
        </w:rPr>
        <w:t>22.</w:t>
      </w:r>
      <w:r>
        <w:rPr>
          <w:rFonts w:ascii="Sylfaen" w:hAnsi="Sylfaen" w:cs="Sylfaen"/>
          <w:sz w:val="20"/>
          <w:szCs w:val="20"/>
          <w:lang w:val="ka-GE" w:eastAsia="ka-GE"/>
        </w:rPr>
        <w:t>05</w:t>
      </w:r>
      <w:r>
        <w:rPr>
          <w:rFonts w:ascii="Sylfaen" w:hAnsi="Sylfaen" w:cs="Sylfaen"/>
          <w:sz w:val="20"/>
          <w:szCs w:val="20"/>
          <w:lang w:val="en-US"/>
        </w:rPr>
        <w:t>.2020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№5965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A13D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A13D1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მიჩენი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AA13D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ხმობადი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ფუტურო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მერქნისა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AA13D1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პლანტაციური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სამონადირეო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</w:p>
    <w:p w:rsidR="00000000" w:rsidRDefault="00AA13D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position w:val="6"/>
          <w:lang w:eastAsia="x-none"/>
        </w:rPr>
      </w:pPr>
      <w:r>
        <w:rPr>
          <w:rFonts w:ascii="Sylfaen" w:eastAsia="Times New Roman" w:hAnsi="Sylfaen" w:cs="Sylfaen"/>
          <w:position w:val="-6"/>
          <w:lang w:val="ka-GE" w:eastAsia="ka-GE"/>
        </w:rPr>
        <w:t>მუხლი</w:t>
      </w:r>
      <w:r>
        <w:rPr>
          <w:rFonts w:ascii="Sylfaen" w:eastAsia="Times New Roman" w:hAnsi="Sylfaen" w:cs="Sylfaen"/>
          <w:position w:val="-6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position w:val="-6"/>
          <w:sz w:val="20"/>
          <w:szCs w:val="20"/>
          <w:lang w:eastAsia="x-none"/>
        </w:rPr>
        <w:t xml:space="preserve">(06.09.2013. </w:t>
      </w:r>
      <w:r>
        <w:rPr>
          <w:rFonts w:ascii="Sylfaen" w:eastAsia="Times New Roman" w:hAnsi="Sylfaen" w:cs="Sylfaen"/>
          <w:color w:val="222222"/>
          <w:sz w:val="20"/>
          <w:szCs w:val="20"/>
          <w:lang w:eastAsia="x-none"/>
        </w:rPr>
        <w:t>№</w:t>
      </w:r>
      <w:r>
        <w:rPr>
          <w:rFonts w:ascii="Sylfaen" w:hAnsi="Sylfaen" w:cs="Sylfaen"/>
          <w:position w:val="-6"/>
          <w:sz w:val="20"/>
          <w:szCs w:val="20"/>
          <w:lang w:eastAsia="x-none"/>
        </w:rPr>
        <w:t xml:space="preserve">1030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position w:val="-6"/>
          <w:sz w:val="20"/>
          <w:szCs w:val="20"/>
          <w:lang w:eastAsia="x-none"/>
        </w:rPr>
        <w:t xml:space="preserve">2013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-6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position w:val="-6"/>
          <w:sz w:val="20"/>
          <w:szCs w:val="20"/>
          <w:lang w:eastAsia="x-none"/>
        </w:rPr>
        <w:t>)</w:t>
      </w:r>
    </w:p>
    <w:p w:rsidR="00000000" w:rsidRDefault="00AA13D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</w:t>
      </w:r>
      <w:r>
        <w:rPr>
          <w:rFonts w:ascii="Sylfaen" w:eastAsia="Times New Roman" w:hAnsi="Sylfaen" w:cs="Sylfaen"/>
          <w:lang w:val="ka-GE" w:eastAsia="ka-GE"/>
        </w:rPr>
        <w:t>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color w:val="222222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1655)</w:t>
      </w:r>
    </w:p>
    <w:p w:rsidR="00000000" w:rsidRDefault="00AA13D1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გამწვანება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გასაშენებელ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მწვანე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ნარგავების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განადგურებისა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ამოძირკვის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№6926)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AA13D1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№6926)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მწვანე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ნარგავების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განადგურებისა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ამოძირკვის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მწვანე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ბუჩქის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ხვიარა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დიამეტრის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ლარებში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ხის</w:t>
      </w:r>
      <w:r>
        <w:rPr>
          <w:rFonts w:ascii="Sylfaen" w:eastAsia="Times New Roman" w:hAnsi="Sylfaen" w:cs="Sylfaen"/>
          <w:lang w:val="en-US"/>
        </w:rPr>
        <w:t xml:space="preserve">  (</w:t>
      </w:r>
      <w:r>
        <w:rPr>
          <w:rFonts w:ascii="Sylfaen" w:eastAsia="Times New Roman" w:hAnsi="Sylfaen" w:cs="Sylfaen"/>
          <w:lang w:val="en-US"/>
        </w:rPr>
        <w:t>ბუჩქის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ხვიარა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დიამეტრი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იზომება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ფესვის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ყელიდან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სმ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სიმაღლეზე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აღდგენითი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მცენარეთა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ფოთლოვანი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წიწვოვანი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ხილ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კენკროვანი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</w:t>
      </w:r>
      <w:r>
        <w:rPr>
          <w:rFonts w:ascii="Sylfaen" w:eastAsia="Times New Roman" w:hAnsi="Sylfaen" w:cs="Sylfaen"/>
          <w:lang w:val="en-US"/>
        </w:rPr>
        <w:t>ობებისათვის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ბუჩქებისა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ხვიარა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მცენარეებისათვის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AA13D1">
      <w:pPr>
        <w:tabs>
          <w:tab w:val="left" w:pos="7810"/>
        </w:tabs>
        <w:ind w:firstLine="709"/>
        <w:jc w:val="both"/>
        <w:rPr>
          <w:color w:val="222222"/>
          <w:lang w:eastAsia="x-none"/>
        </w:rPr>
      </w:pPr>
      <w:r>
        <w:rPr>
          <w:rFonts w:ascii="Sylfaen" w:eastAsia="Times New Roman" w:hAnsi="Sylfaen" w:cs="Sylfaen"/>
          <w:color w:val="222222"/>
          <w:lang w:val="ka-GE" w:eastAsia="ka-GE"/>
        </w:rPr>
        <w:t>მუხლი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5 </w:t>
      </w:r>
      <w:r>
        <w:rPr>
          <w:rFonts w:ascii="Sylfaen" w:hAnsi="Sylfaen" w:cs="Sylfaen"/>
          <w:color w:val="222222"/>
          <w:sz w:val="20"/>
          <w:szCs w:val="20"/>
          <w:lang w:eastAsia="x-none"/>
        </w:rPr>
        <w:t xml:space="preserve">(30.04.2014. </w:t>
      </w:r>
      <w:r>
        <w:rPr>
          <w:rFonts w:ascii="Sylfaen" w:eastAsia="Times New Roman" w:hAnsi="Sylfaen" w:cs="Sylfaen"/>
          <w:color w:val="222222"/>
          <w:sz w:val="20"/>
          <w:szCs w:val="20"/>
          <w:lang w:eastAsia="x-none"/>
        </w:rPr>
        <w:t>№</w:t>
      </w:r>
      <w:r>
        <w:rPr>
          <w:rFonts w:ascii="Sylfaen" w:hAnsi="Sylfaen" w:cs="Sylfaen"/>
          <w:color w:val="222222"/>
          <w:sz w:val="20"/>
          <w:szCs w:val="20"/>
          <w:lang w:eastAsia="x-none"/>
        </w:rPr>
        <w:t>2317)</w:t>
      </w:r>
      <w:r>
        <w:rPr>
          <w:color w:val="222222"/>
          <w:lang w:eastAsia="x-none"/>
        </w:rPr>
        <w:tab/>
      </w:r>
    </w:p>
    <w:p w:rsidR="00000000" w:rsidRDefault="00AA13D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color w:val="222222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2222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lang w:val="ka-GE" w:eastAsia="ka-GE"/>
        </w:rPr>
        <w:t>წითელ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ნუსხაში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lang w:val="ka-GE" w:eastAsia="ka-GE"/>
        </w:rPr>
        <w:t>შეტანილი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სახეობებისათვის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მაღალი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ჯგუფის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წიწვოვანი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ფოთლოვანი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ხე</w:t>
      </w:r>
      <w:r>
        <w:rPr>
          <w:rFonts w:ascii="Sylfaen" w:eastAsia="Times New Roman" w:hAnsi="Sylfaen" w:cs="Sylfaen"/>
          <w:color w:val="222222"/>
          <w:lang w:val="ka-GE" w:eastAsia="ka-GE"/>
        </w:rPr>
        <w:t>-</w:t>
      </w:r>
      <w:r>
        <w:rPr>
          <w:rFonts w:ascii="Sylfaen" w:eastAsia="Times New Roman" w:hAnsi="Sylfaen" w:cs="Sylfaen"/>
          <w:color w:val="222222"/>
          <w:lang w:val="ka-GE" w:eastAsia="ka-GE"/>
        </w:rPr>
        <w:t>მცენარეებისათვის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−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აღმოსავლეთის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</w:t>
      </w:r>
      <w:r>
        <w:rPr>
          <w:rFonts w:ascii="Sylfaen" w:eastAsia="Times New Roman" w:hAnsi="Sylfaen" w:cs="Sylfaen"/>
          <w:lang w:val="ka-GE" w:eastAsia="ka-GE"/>
        </w:rPr>
        <w:t>დარის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კავკასიური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არმაზის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შინდანწლა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ქაცვი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ჭოროხის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ჰართვისის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აღმოსავლეთის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წიფელი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ჯონჯოლი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ნამყენი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თელამუში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წიწვოვანებისათვის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ღირებულებაა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ფოთლოვანებისათვის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მწვანე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რგოლების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აღდგენითი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დიამეტრის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ფოთლოვნებისთვის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წიწვოვნებისთვის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ცხრილის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(23.06.2022 N 1710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A13D1">
      <w:pPr>
        <w:pStyle w:val="NormalWeb"/>
        <w:spacing w:before="0" w:after="0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lang w:eastAsia="x-none"/>
        </w:rPr>
        <w:t>დაბალი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ღირებულების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ჯგუფის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ფოთლოვან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სახეობათა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 xml:space="preserve">                             </w:t>
      </w:r>
      <w:r>
        <w:rPr>
          <w:rFonts w:ascii="Sylfaen" w:eastAsia="Times New Roman" w:hAnsi="Sylfaen" w:cs="Sylfaen"/>
          <w:color w:val="000000"/>
          <w:lang w:eastAsia="x-none"/>
        </w:rPr>
        <w:t>ხე</w:t>
      </w:r>
      <w:r>
        <w:rPr>
          <w:rFonts w:ascii="Sylfaen" w:eastAsia="Times New Roman" w:hAnsi="Sylfaen" w:cs="Sylfaen"/>
          <w:color w:val="000000"/>
          <w:lang w:eastAsia="x-none"/>
        </w:rPr>
        <w:t>-</w:t>
      </w:r>
      <w:r>
        <w:rPr>
          <w:rFonts w:ascii="Sylfaen" w:eastAsia="Times New Roman" w:hAnsi="Sylfaen" w:cs="Sylfaen"/>
          <w:color w:val="000000"/>
          <w:lang w:eastAsia="x-none"/>
        </w:rPr>
        <w:t>მცენარეებისათვის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ჭადარი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ვერხვი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>),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ცხენისწაბლ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იფანი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ცაცხვი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ნეკერჩხალი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lang w:eastAsia="x-none"/>
        </w:rPr>
        <w:t>გ</w:t>
      </w:r>
      <w:r>
        <w:rPr>
          <w:rFonts w:ascii="Sylfaen" w:eastAsia="Times New Roman" w:hAnsi="Sylfaen" w:cs="Sylfaen"/>
          <w:color w:val="000000"/>
          <w:lang w:eastAsia="x-none"/>
        </w:rPr>
        <w:t>არდა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ქართული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ნეკერჩხლისა</w:t>
      </w:r>
      <w:r>
        <w:rPr>
          <w:rFonts w:ascii="Sylfaen" w:hAnsi="Sylfaen" w:cs="Sylfaen"/>
          <w:color w:val="000000"/>
          <w:lang w:eastAsia="x-none"/>
        </w:rPr>
        <w:t xml:space="preserve">), </w:t>
      </w:r>
      <w:r>
        <w:rPr>
          <w:rFonts w:ascii="Sylfaen" w:eastAsia="Times New Roman" w:hAnsi="Sylfaen" w:cs="Sylfaen"/>
          <w:color w:val="000000"/>
          <w:lang w:eastAsia="x-none"/>
        </w:rPr>
        <w:t>რცხილა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ჯაგრცხილა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აკაცია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აბრეშუმა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აკაცია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სოფორ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გლედიჩია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>ღ</w:t>
      </w:r>
      <w:r>
        <w:rPr>
          <w:rFonts w:ascii="Sylfaen" w:eastAsia="Times New Roman" w:hAnsi="Sylfaen" w:cs="Sylfaen"/>
          <w:color w:val="000000"/>
          <w:lang w:eastAsia="x-none"/>
        </w:rPr>
        <w:t>ავანი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არყის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ხე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საპნის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</w:t>
      </w:r>
      <w:r>
        <w:rPr>
          <w:rFonts w:ascii="Sylfaen" w:eastAsia="Times New Roman" w:hAnsi="Sylfaen" w:cs="Sylfaen"/>
          <w:color w:val="000000"/>
          <w:lang w:val="ka-GE" w:eastAsia="ka-GE"/>
        </w:rPr>
        <w:t>,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კატალპა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კუნელი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აღდგენითი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ღირებულებები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 xml:space="preserve"> 1-</w:t>
      </w:r>
      <w:r>
        <w:rPr>
          <w:rFonts w:ascii="Sylfaen" w:eastAsia="Times New Roman" w:hAnsi="Sylfaen" w:cs="Sylfaen"/>
          <w:color w:val="000000"/>
          <w:lang w:val="ka-GE" w:eastAsia="ka-GE"/>
        </w:rPr>
        <w:t>ლი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ცხრილის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შესაბამისად</w:t>
      </w:r>
      <w:r>
        <w:rPr>
          <w:rFonts w:ascii="Sylfaen" w:eastAsia="Times New Roman" w:hAnsi="Sylfaen" w:cs="Sylfaen"/>
          <w:color w:val="000000"/>
          <w:lang w:eastAsia="x-none"/>
        </w:rPr>
        <w:t>:</w:t>
      </w:r>
    </w:p>
    <w:p w:rsidR="00000000" w:rsidRDefault="00AA13D1">
      <w:pPr>
        <w:pStyle w:val="NormalWeb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A13D1">
      <w:pPr>
        <w:jc w:val="center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eastAsia="x-none"/>
        </w:rPr>
        <w:t>ცხრილი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1</w:t>
      </w:r>
    </w:p>
    <w:p w:rsidR="00000000" w:rsidRDefault="00AA13D1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მერქნის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ღირებულებაა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>.</w:t>
      </w:r>
    </w:p>
    <w:tbl>
      <w:tblPr>
        <w:tblW w:w="0" w:type="auto"/>
        <w:tblInd w:w="-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2676"/>
        <w:gridCol w:w="2916"/>
      </w:tblGrid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rPr>
                <w:rFonts w:ascii="Sylfaen" w:hAnsi="Sylfaen" w:cs="Sylfaen"/>
                <w:b/>
                <w:bCs/>
                <w:color w:val="000000"/>
                <w:lang w:val="ka-GE" w:eastAsia="ka-GE"/>
              </w:rPr>
            </w:pPr>
          </w:p>
          <w:p w:rsidR="00000000" w:rsidRDefault="00AA13D1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ხის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დიამეტრი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სანტიმეტრებში</w:t>
            </w:r>
          </w:p>
          <w:p w:rsidR="00000000" w:rsidRDefault="00AA13D1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rPr>
                <w:rFonts w:ascii="Sylfaen" w:hAnsi="Sylfaen" w:cs="Sylfaen"/>
                <w:b/>
                <w:bCs/>
                <w:lang w:val="ka-GE" w:eastAsia="ka-GE"/>
              </w:rPr>
            </w:pPr>
          </w:p>
          <w:p w:rsidR="00000000" w:rsidRDefault="00AA13D1">
            <w:pPr>
              <w:jc w:val="center"/>
              <w:rPr>
                <w:rFonts w:ascii="Sylfaen" w:eastAsia="Times New Roman" w:hAnsi="Sylfaen" w:cs="Sylfaen"/>
                <w:b/>
                <w:bCs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წლიური</w:t>
            </w: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რგოლების</w:t>
            </w: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რაოდენობა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 xml:space="preserve"> </w:t>
            </w:r>
          </w:p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აღდგენითი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ღირებულება</w:t>
            </w:r>
            <w:r>
              <w:rPr>
                <w:rFonts w:ascii="Sylfae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ლარებში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4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  <w:r>
              <w:rPr>
                <w:color w:val="00000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მდე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ჩ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ათვლით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64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–8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16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128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–12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24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192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–16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32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256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–20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40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320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–24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48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384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–28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56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448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–32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64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512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36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72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576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–40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80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640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–44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88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704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–48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96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768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–52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104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832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–56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112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896</w:t>
            </w:r>
          </w:p>
        </w:tc>
      </w:tr>
      <w:tr w:rsidR="00000000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56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  <w:r>
              <w:rPr>
                <w:color w:val="00000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ის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ზევით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rPr>
                <w:lang w:val="en-US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1000</w:t>
            </w:r>
          </w:p>
        </w:tc>
      </w:tr>
    </w:tbl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წიწვოვან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მცენარეებისათვის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eastAsia="Times New Roman" w:hAnsi="Sylfaen" w:cs="Sylfaen"/>
          <w:lang w:val="en-US"/>
        </w:rPr>
        <w:t>კედარი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ფიჭვი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კვიპაროსი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ცრუცუგა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სოჭი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ნაძვი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აღდგენითი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 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ცხრილი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>2</w:t>
      </w:r>
    </w:p>
    <w:p w:rsidR="00000000" w:rsidRDefault="00AA13D1">
      <w:pPr>
        <w:ind w:firstLine="709"/>
        <w:rPr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მერქნის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ღირებულებაა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tbl>
      <w:tblPr>
        <w:tblW w:w="0" w:type="auto"/>
        <w:tblInd w:w="-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86"/>
        <w:gridCol w:w="2447"/>
        <w:gridCol w:w="2816"/>
      </w:tblGrid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ხის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დიამეტრი</w:t>
            </w:r>
          </w:p>
          <w:p w:rsidR="00000000" w:rsidRDefault="00AA13D1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სანტიმეტრებში</w:t>
            </w:r>
          </w:p>
          <w:p w:rsidR="00000000" w:rsidRDefault="00AA13D1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eastAsia="Times New Roman" w:hAnsi="Sylfaen" w:cs="Sylfaen"/>
                <w:b/>
                <w:bCs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წლიური</w:t>
            </w: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რგოლების</w:t>
            </w:r>
          </w:p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რაოდენობა</w:t>
            </w:r>
          </w:p>
          <w:p w:rsidR="00000000" w:rsidRDefault="00AA13D1">
            <w:pPr>
              <w:jc w:val="center"/>
              <w:rPr>
                <w:rFonts w:ascii="Sylfaen" w:hAnsi="Sylfaen" w:cs="Sylfaen"/>
                <w:b/>
                <w:bCs/>
                <w:lang w:val="ka-GE" w:eastAsia="ka-GE"/>
              </w:rPr>
            </w:pP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აღდგენითი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ღირე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ბულება</w:t>
            </w:r>
          </w:p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ლარებში</w:t>
            </w:r>
          </w:p>
          <w:p w:rsidR="00000000" w:rsidRDefault="00AA13D1">
            <w:pPr>
              <w:jc w:val="center"/>
              <w:rPr>
                <w:lang w:val="en-US"/>
              </w:rPr>
            </w:pP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4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  <w:r>
              <w:rPr>
                <w:color w:val="00000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მდე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ჩათვლით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96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–8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16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192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–12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24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288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–16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32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384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–20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40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480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–24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48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576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–28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56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672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–32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64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768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32,1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–36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72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864</w:t>
            </w:r>
          </w:p>
        </w:tc>
      </w:tr>
      <w:tr w:rsidR="00000000">
        <w:trPr>
          <w:trHeight w:val="225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–40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80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960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–44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88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1056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–48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96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1152</w:t>
            </w:r>
          </w:p>
        </w:tc>
      </w:tr>
      <w:tr w:rsidR="00000000">
        <w:trPr>
          <w:trHeight w:val="255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48,1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–52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104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1248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–56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112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1344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56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  <w:r>
              <w:rPr>
                <w:color w:val="00000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ის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ზევით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1500</w:t>
            </w:r>
          </w:p>
        </w:tc>
      </w:tr>
    </w:tbl>
    <w:p w:rsidR="00000000" w:rsidRDefault="00AA13D1">
      <w:pPr>
        <w:pStyle w:val="Normal0"/>
        <w:tabs>
          <w:tab w:val="left" w:pos="207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ხილკენკროვან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მცენარეებისათვის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მსხალი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ვაშლი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ატამი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გარგა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ალუბალი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ქლიავი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ლეღვი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შინდი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ტყემალი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აღდგენითი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A13D1">
      <w:pPr>
        <w:jc w:val="center"/>
        <w:rPr>
          <w:rFonts w:ascii="Sylfaen" w:hAnsi="Sylfaen" w:cs="Sylfaen"/>
          <w:b/>
          <w:bCs/>
          <w:color w:val="000000"/>
          <w:lang w:val="en-US"/>
        </w:rPr>
      </w:pPr>
    </w:p>
    <w:p w:rsidR="00000000" w:rsidRDefault="00AA13D1">
      <w:pPr>
        <w:jc w:val="center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en-US"/>
        </w:rPr>
        <w:t>ცხრილი</w:t>
      </w:r>
      <w:r>
        <w:rPr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3</w:t>
      </w:r>
    </w:p>
    <w:tbl>
      <w:tblPr>
        <w:tblW w:w="0" w:type="auto"/>
        <w:tblInd w:w="-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86"/>
        <w:gridCol w:w="3045"/>
      </w:tblGrid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ka-GE" w:eastAsia="ka-GE"/>
              </w:rPr>
            </w:pPr>
            <w:r>
              <w:rPr>
                <w:lang w:val="en-US"/>
              </w:rPr>
              <w:br/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ხის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დიამეტრი</w:t>
            </w:r>
          </w:p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სანტიმეტრებში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აღდგენითი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ღირებულება</w:t>
            </w:r>
          </w:p>
          <w:p w:rsidR="00000000" w:rsidRDefault="00AA13D1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ლარებში</w:t>
            </w:r>
            <w:r>
              <w:rPr>
                <w:rFonts w:ascii="Sylfaen" w:hAnsi="Sylfaen" w:cs="Sylfaen"/>
                <w:b/>
                <w:bCs/>
                <w:color w:val="000000"/>
                <w:lang w:val="ka-GE" w:eastAsia="ka-GE"/>
              </w:rPr>
              <w:tab/>
            </w:r>
          </w:p>
          <w:p w:rsidR="00000000" w:rsidRDefault="00AA13D1">
            <w:pPr>
              <w:jc w:val="center"/>
              <w:rPr>
                <w:lang w:val="en-US"/>
              </w:rPr>
            </w:pP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4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  <w:r>
              <w:rPr>
                <w:color w:val="00000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მდე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ჩათვლით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25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–8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35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–12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45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–16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55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–20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65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–24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75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–28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85</w:t>
            </w:r>
          </w:p>
        </w:tc>
      </w:tr>
      <w:tr w:rsidR="0000000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ind w:firstLine="601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–32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95</w:t>
            </w:r>
          </w:p>
        </w:tc>
      </w:tr>
    </w:tbl>
    <w:p w:rsidR="00000000" w:rsidRDefault="00AA13D1">
      <w:pPr>
        <w:jc w:val="center"/>
        <w:rPr>
          <w:rFonts w:ascii="Sylfaen" w:hAnsi="Sylfaen" w:cs="Sylfaen"/>
          <w:lang w:val="ka-GE" w:eastAsia="ka-GE"/>
        </w:rPr>
      </w:pPr>
    </w:p>
    <w:p w:rsidR="00000000" w:rsidRDefault="00AA13D1">
      <w:pPr>
        <w:jc w:val="center"/>
        <w:rPr>
          <w:rFonts w:ascii="Sylfaen" w:hAnsi="Sylfaen" w:cs="Sylfaen"/>
          <w:lang w:val="ka-GE" w:eastAsia="ka-GE"/>
        </w:rPr>
      </w:pPr>
    </w:p>
    <w:p w:rsidR="00000000" w:rsidRDefault="00AA13D1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eastAsia="x-none"/>
        </w:rPr>
        <w:t xml:space="preserve">5. </w:t>
      </w:r>
      <w:r>
        <w:rPr>
          <w:rFonts w:ascii="Sylfaen" w:eastAsia="Times New Roman" w:hAnsi="Sylfaen" w:cs="Sylfaen"/>
          <w:color w:val="000000"/>
          <w:lang w:eastAsia="x-none"/>
        </w:rPr>
        <w:t>ბუჩქებისა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ხვიარა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მცენარეებისათვის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ღვია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ტუია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წყა</w:t>
      </w:r>
      <w:r>
        <w:rPr>
          <w:rFonts w:ascii="Sylfaen" w:eastAsia="Times New Roman" w:hAnsi="Sylfaen" w:cs="Sylfaen"/>
          <w:color w:val="000000"/>
          <w:lang w:eastAsia="x-none"/>
        </w:rPr>
        <w:t>ვი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ჭყორი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შტამ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color w:val="000000"/>
          <w:lang w:eastAsia="x-none"/>
        </w:rPr>
        <w:t>იანი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კვიდო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მარადმწვანე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კვიდო</w:t>
      </w:r>
      <w:r>
        <w:rPr>
          <w:rFonts w:ascii="Sylfae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eastAsia="Times New Roman" w:hAnsi="Sylfaen" w:cs="Sylfaen"/>
          <w:color w:val="000000"/>
          <w:lang w:eastAsia="x-none"/>
        </w:rPr>
        <w:t>ონია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წითელფოთოლა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კოწახური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მარადმწვანე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კოწახური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იუკა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დიდებული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– </w:t>
      </w:r>
      <w:r>
        <w:rPr>
          <w:rFonts w:ascii="Sylfaen" w:eastAsia="Times New Roman" w:hAnsi="Sylfaen" w:cs="Sylfaen"/>
          <w:color w:val="000000"/>
          <w:lang w:eastAsia="x-none"/>
        </w:rPr>
        <w:t>აღდგენითი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ღირებულებები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</w:t>
      </w:r>
      <w:r>
        <w:rPr>
          <w:rFonts w:ascii="Sylfaen" w:eastAsia="Times New Roman" w:hAnsi="Sylfaen" w:cs="Sylfaen"/>
          <w:color w:val="000000"/>
          <w:lang w:eastAsia="x-none"/>
        </w:rPr>
        <w:t>-</w:t>
      </w:r>
      <w:r>
        <w:rPr>
          <w:rFonts w:ascii="Sylfaen" w:hAnsi="Sylfaen" w:cs="Sylfaen"/>
          <w:color w:val="000000"/>
          <w:lang w:val="ka-GE" w:eastAsia="ka-GE"/>
        </w:rPr>
        <w:t>4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ცხრილის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შესაბამისად</w:t>
      </w:r>
      <w:r>
        <w:rPr>
          <w:rFonts w:ascii="Sylfaen" w:eastAsia="Times New Roman" w:hAnsi="Sylfaen" w:cs="Sylfaen"/>
          <w:color w:val="000000"/>
          <w:lang w:eastAsia="x-none"/>
        </w:rPr>
        <w:t>:</w:t>
      </w:r>
    </w:p>
    <w:p w:rsidR="00000000" w:rsidRDefault="00AA13D1">
      <w:pPr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AA13D1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en-US"/>
        </w:rPr>
        <w:t>ცხრილი</w:t>
      </w:r>
      <w:r>
        <w:rPr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4</w:t>
      </w:r>
    </w:p>
    <w:tbl>
      <w:tblPr>
        <w:tblW w:w="0" w:type="auto"/>
        <w:tblInd w:w="99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76"/>
        <w:gridCol w:w="3045"/>
      </w:tblGrid>
      <w:tr w:rsidR="00000000">
        <w:trPr>
          <w:trHeight w:val="1938"/>
        </w:trPr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ka-GE" w:eastAsia="ka-GE"/>
              </w:rPr>
            </w:pPr>
            <w:r>
              <w:rPr>
                <w:lang w:val="en-US"/>
              </w:rPr>
              <w:br/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ბუჩქის</w:t>
            </w:r>
            <w:r>
              <w:rPr>
                <w:rFonts w:ascii="Sylfaen" w:hAnsi="Sylfaen" w:cs="Sylfaen"/>
                <w:b/>
                <w:bCs/>
                <w:color w:val="000000"/>
                <w:lang w:val="ka-GE" w:eastAsia="ka-GE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ხვიარა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მცენარის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დიამეტრი</w:t>
            </w:r>
          </w:p>
          <w:p w:rsidR="00000000" w:rsidRDefault="00AA13D1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სანტიმეტრებში</w:t>
            </w:r>
          </w:p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აღდ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გენითი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ღირებულება</w:t>
            </w:r>
          </w:p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ლარებში</w:t>
            </w:r>
          </w:p>
          <w:p w:rsidR="00000000" w:rsidRDefault="00AA13D1">
            <w:pPr>
              <w:jc w:val="center"/>
              <w:rPr>
                <w:lang w:val="en-US"/>
              </w:rPr>
            </w:pPr>
          </w:p>
        </w:tc>
      </w:tr>
      <w:tr w:rsidR="00000000"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4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  <w:r>
              <w:rPr>
                <w:color w:val="00000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მდე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ჩათვლით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45</w:t>
            </w:r>
          </w:p>
        </w:tc>
      </w:tr>
      <w:tr w:rsidR="00000000"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–8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75</w:t>
            </w:r>
          </w:p>
        </w:tc>
      </w:tr>
      <w:tr w:rsidR="00000000"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–12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80</w:t>
            </w:r>
          </w:p>
        </w:tc>
      </w:tr>
      <w:tr w:rsidR="00000000"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–16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85</w:t>
            </w:r>
          </w:p>
        </w:tc>
      </w:tr>
      <w:tr w:rsidR="00000000"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16,1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–20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90</w:t>
            </w:r>
          </w:p>
        </w:tc>
      </w:tr>
      <w:tr w:rsidR="00000000"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20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სმ</w:t>
            </w:r>
            <w:r>
              <w:rPr>
                <w:color w:val="00000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ის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/>
              </w:rPr>
              <w:t>ზევით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A13D1">
            <w:pPr>
              <w:jc w:val="center"/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150</w:t>
            </w:r>
          </w:p>
        </w:tc>
      </w:tr>
    </w:tbl>
    <w:p w:rsidR="00000000" w:rsidRDefault="00AA13D1">
      <w:pPr>
        <w:ind w:firstLine="708"/>
        <w:rPr>
          <w:rFonts w:ascii="Sylfaen" w:hAnsi="Sylfaen" w:cs="Sylfaen"/>
          <w:lang w:val="en-US"/>
        </w:rPr>
      </w:pPr>
    </w:p>
    <w:p w:rsidR="00000000" w:rsidRDefault="00AA13D1">
      <w:pPr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მცენარეების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ბუჩქებისა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ხვიარა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</w:t>
      </w:r>
      <w:r>
        <w:rPr>
          <w:rFonts w:ascii="Sylfaen" w:eastAsia="Times New Roman" w:hAnsi="Sylfaen" w:cs="Sylfaen"/>
          <w:lang w:val="en-US"/>
        </w:rPr>
        <w:t>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Times New Roman" w:hAnsi="Times New Roman" w:cs="Times New Roman"/>
          <w:color w:val="222222"/>
          <w:lang w:eastAsia="x-non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222222"/>
          <w:lang w:eastAsia="x-none"/>
        </w:rPr>
        <w:t xml:space="preserve"> 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Times New Roman" w:hAnsi="Times New Roman" w:cs="Times New Roman"/>
          <w:color w:val="222222"/>
          <w:lang w:eastAsia="x-none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მწვანე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ნარგავები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იყოფა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კატეგორიად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№6926)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პარკებისა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სკვერების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</w:t>
      </w:r>
      <w:r>
        <w:rPr>
          <w:rFonts w:ascii="Sylfaen" w:eastAsia="Times New Roman" w:hAnsi="Sylfaen" w:cs="Sylfaen"/>
          <w:lang w:val="en-US"/>
        </w:rPr>
        <w:t>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პროსპექტების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გზატკეცილების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მაგისტრალებისა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ქუჩების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ნარგავები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ნიადაგდამცავებსა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წყალმარეგულირებლებს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color w:val="222222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საკურორტო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რეკრეაციული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ფართობების</w:t>
      </w:r>
      <w:r>
        <w:rPr>
          <w:rFonts w:ascii="Sylfaen" w:eastAsia="Times New Roman" w:hAnsi="Sylfaen" w:cs="Sylfaen"/>
          <w:lang w:val="ka-GE" w:eastAsia="ka-GE"/>
        </w:rPr>
        <w:t xml:space="preserve"> (8106.9 </w:t>
      </w:r>
      <w:r>
        <w:rPr>
          <w:rFonts w:ascii="Sylfaen" w:eastAsia="Times New Roman" w:hAnsi="Sylfaen" w:cs="Sylfaen"/>
          <w:lang w:val="ka-GE" w:eastAsia="ka-GE"/>
        </w:rPr>
        <w:t>ჰა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2010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20 </w:t>
      </w:r>
      <w:r>
        <w:rPr>
          <w:rFonts w:ascii="Sylfaen" w:eastAsia="Times New Roman" w:hAnsi="Sylfaen" w:cs="Sylfaen"/>
          <w:color w:val="222222"/>
          <w:lang w:val="ka-GE" w:eastAsia="ka-GE"/>
        </w:rPr>
        <w:t>აგვისტოს</w:t>
      </w:r>
      <w:r>
        <w:rPr>
          <w:rFonts w:ascii="Sylfae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№1070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განკარგულებით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ტყის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ფონდიდან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ამორიცხული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მიწები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გარდა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კერძო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მყოფი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მიწებისა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  <w:r>
        <w:rPr>
          <w:rFonts w:ascii="Sylfaen" w:hAnsi="Sylfaen" w:cs="Sylfaen"/>
          <w:color w:val="222222"/>
          <w:lang w:eastAsia="x-none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lang w:eastAsia="x-none"/>
        </w:rPr>
        <w:t xml:space="preserve">(30.04.2014. </w:t>
      </w:r>
      <w:r>
        <w:rPr>
          <w:rFonts w:ascii="Sylfaen" w:eastAsia="Times New Roman" w:hAnsi="Sylfaen" w:cs="Sylfaen"/>
          <w:color w:val="222222"/>
          <w:sz w:val="20"/>
          <w:szCs w:val="20"/>
          <w:lang w:eastAsia="x-none"/>
        </w:rPr>
        <w:t>№</w:t>
      </w:r>
      <w:r>
        <w:rPr>
          <w:rFonts w:ascii="Sylfaen" w:hAnsi="Sylfaen" w:cs="Sylfaen"/>
          <w:color w:val="222222"/>
          <w:sz w:val="20"/>
          <w:szCs w:val="20"/>
          <w:lang w:eastAsia="x-none"/>
        </w:rPr>
        <w:t>2317)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საბავშვო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სკოლების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საავადმყოფოებისა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ფაბრიკა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ქარხნების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>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A13D1">
      <w:pPr>
        <w:ind w:firstLine="709"/>
        <w:jc w:val="both"/>
        <w:rPr>
          <w:color w:val="222222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მწვანე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ნარგავებით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№6926)</w:t>
      </w:r>
    </w:p>
    <w:p w:rsidR="00000000" w:rsidRDefault="00AA13D1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მოსაჭრელად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color w:val="222222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A13D1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ზეხმელი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ხმობადი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გადაბერებული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წაქცევით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ემენტებისათვის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ბიომრავალფეროვნებაზე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AA13D1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ზეხმელი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ხმობადი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გადაბერებული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A13D1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აფერხებს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ბიომრავალფეროვნებაზე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მოსაჭრელი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აჭარბებდეს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25%-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AA13D1">
      <w:pPr>
        <w:pStyle w:val="NoSpacing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A13D1">
      <w:pPr>
        <w:pStyle w:val="NoSpacing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დააზიანოს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color w:val="222222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ბიომრავალფეროვნებაზე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იგეგმება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დაადასტურებენ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color w:val="222222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AA13D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color w:val="222222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A13D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</w:p>
    <w:p w:rsidR="00000000" w:rsidRDefault="00AA13D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შემასწორებელი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კოეფიციენტები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6, 4,5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3, </w:t>
      </w:r>
      <w:r>
        <w:rPr>
          <w:rFonts w:ascii="Sylfaen" w:eastAsia="Times New Roman" w:hAnsi="Sylfaen" w:cs="Sylfaen"/>
          <w:lang w:val="en-US"/>
        </w:rPr>
        <w:t>რომლებზედაც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მწვანე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განადგურებისა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ამოძირკვის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(23.06.2022 N 1710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შემასწორებელ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</w:t>
      </w:r>
      <w:r>
        <w:rPr>
          <w:rFonts w:ascii="Sylfaen" w:eastAsia="Times New Roman" w:hAnsi="Sylfaen" w:cs="Sylfaen"/>
          <w:lang w:val="ka-GE" w:eastAsia="ka-GE"/>
        </w:rPr>
        <w:t>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წიწვოვან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დეკორატიულ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მცენარეების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კენკროვანი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შემასწორებელ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პერსპექტიული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№6926)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შვიდკილომეტრიანი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color w:val="222222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AA13D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ნოემბერი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A13D1">
      <w:pPr>
        <w:pStyle w:val="Normal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594 - 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AA13D1">
      <w:pPr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13D1"/>
    <w:rsid w:val="00A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ind w:firstLine="5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styleId="BodyText">
    <w:name w:val="Body Text"/>
    <w:basedOn w:val="Normal"/>
    <w:link w:val="BodyTextChar"/>
    <w:uiPriority w:val="99"/>
    <w:pPr>
      <w:widowControl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CommentText">
    <w:name w:val="annotation text"/>
    <w:basedOn w:val="Normal"/>
    <w:link w:val="CommentTextChar"/>
    <w:uiPriority w:val="99"/>
    <w:pPr>
      <w:widowControl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CommentTextChar17">
    <w:name w:val="Comment Text Char17"/>
    <w:basedOn w:val="DefaultParagraphFont"/>
    <w:uiPriority w:val="99"/>
    <w:rPr>
      <w:sz w:val="20"/>
      <w:szCs w:val="20"/>
    </w:rPr>
  </w:style>
  <w:style w:type="character" w:customStyle="1" w:styleId="CommentTextChar16">
    <w:name w:val="Comment Text Char16"/>
    <w:basedOn w:val="DefaultParagraphFont"/>
    <w:uiPriority w:val="99"/>
    <w:rPr>
      <w:sz w:val="20"/>
      <w:szCs w:val="20"/>
    </w:rPr>
  </w:style>
  <w:style w:type="character" w:customStyle="1" w:styleId="CommentTextChar15">
    <w:name w:val="Comment Text Char15"/>
    <w:basedOn w:val="DefaultParagraphFont"/>
    <w:uiPriority w:val="99"/>
    <w:rPr>
      <w:sz w:val="20"/>
      <w:szCs w:val="20"/>
    </w:rPr>
  </w:style>
  <w:style w:type="character" w:customStyle="1" w:styleId="CommentTextChar14">
    <w:name w:val="Comment Text Char14"/>
    <w:basedOn w:val="DefaultParagraphFont"/>
    <w:uiPriority w:val="99"/>
    <w:rPr>
      <w:sz w:val="20"/>
      <w:szCs w:val="20"/>
    </w:rPr>
  </w:style>
  <w:style w:type="character" w:customStyle="1" w:styleId="CommentTextChar13">
    <w:name w:val="Comment Text Char13"/>
    <w:basedOn w:val="DefaultParagraphFont"/>
    <w:uiPriority w:val="99"/>
    <w:rPr>
      <w:sz w:val="20"/>
      <w:szCs w:val="20"/>
    </w:rPr>
  </w:style>
  <w:style w:type="character" w:customStyle="1" w:styleId="CommentTextChar12">
    <w:name w:val="Comment Text Char12"/>
    <w:basedOn w:val="DefaultParagraphFont"/>
    <w:uiPriority w:val="99"/>
    <w:rPr>
      <w:sz w:val="20"/>
      <w:szCs w:val="20"/>
    </w:rPr>
  </w:style>
  <w:style w:type="character" w:customStyle="1" w:styleId="CommentTextChar11">
    <w:name w:val="Comment Text Char11"/>
    <w:basedOn w:val="DefaultParagraphFont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2360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15781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