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მეზღვაურთა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განათლებისა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სერტიფიცირების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ru-RU" w:eastAsia="ru-RU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I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დებულებანი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</w:t>
      </w:r>
      <w:r>
        <w:rPr>
          <w:rFonts w:ascii="Sylfaen" w:hAnsi="Sylfaen" w:cs="Sylfaen"/>
          <w:sz w:val="24"/>
          <w:szCs w:val="24"/>
          <w:lang w:val="en-US"/>
        </w:rPr>
        <w:t xml:space="preserve">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უნიფიცირებ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მაღალკვალიფიციურ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გაღრმავებისა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№3447)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მუხლი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მეზღვაურთა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შემადგენლობა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მიზნებისათვის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მეზღვაურთა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შემადგენლობა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კაპიტანს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ოფიცერსა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რიგითს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კაპიტანი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მეთაურობს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გემს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ოფიცერი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გემის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ეკიპაჟი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წევრი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კაპიტნისა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რიგითისა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რომელსაც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სათანადო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კომპეტენცია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დასტურდება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სერტიფიკატით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კონვენციისა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 GMDSS-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III/1, III/2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II/5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მოტორისტი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III/5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III/7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(14.11.2014.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lastRenderedPageBreak/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კილოვატებით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რადიომორიგეობა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(IBCC)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RO-RO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საბორნე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უეკიპაჟოდ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GMDSS-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იმსახუროს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განსაახლებლად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ოცდაათი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ISM-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A741 (18)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ISPS-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2002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ISPS-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GMDSS-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№3447)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1966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XIV/1.1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ანტარქტიკის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XIV/1.2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XIV/1.4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თევზსაჭერი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პრიმიტიული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იახტისა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N369)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სერტიფიცირება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A-II/1, A-II/2,   A-II/3, A-II/4, A-II/5, A-III/1, A-III/2, A-III/3, A-III/4, A-III/5, A-III/6, A-III/7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A-IV/2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(14.11.2014. N2790)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გამოცდა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ვადაგაგრძელებულის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ახერხებს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საშუქურო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შესაკეთებელი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საშუქურო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არათვითმავალ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თანაფარდობით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განსაახლებლად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თანაფარდობით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განსაახლებლად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დადასტურება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(14.11.2014. N2790)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II/2, III/2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ეტენციის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იმსახუროს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(CRA)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keepNext/>
        <w:keepLines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გაუქმება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იმსახუროს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მოეთხოვებათ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გასაღრმავებლად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განსაახლებლად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A-I/11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9.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საფასური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სერტიფიცირება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-VI/4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16. 500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17.  500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თანაშემწისა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განზომილებები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მატროსის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20.  3000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3000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მექანიკოსისა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21. 750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მექანიკოსისა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22. 750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ვახტიანი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უვახტო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A-VI/2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ვახტიანი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უვახტო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GMDSS-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რადიოოპერატორის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GMDSS-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რადიოკავშირგაბმულობის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GMDSS-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GMDSS-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რადიოსამონტაჟო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A-IV/2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GMDSS-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ვახტიანი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უვახტო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მოტორისტის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მოტორისტი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მოტორისტის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ელექტროტექნიკოსისა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ელექტროტექნიკოსის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A-VI/3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ელექტროტექნ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A-III/7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III/10.04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A-VI/1-1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რიგითისა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კომპეტენცია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იმსახუროს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7.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II,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RO-RO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გადმოსხმისთვის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სიმტკიცეში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A-II/1, A-III/1, A-IV/2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სიმულატორების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A-I/12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კატარღაზე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სწრაფმავალ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კატარღაზე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მუშაობისთვის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(14.11.2014. N2790)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A-VI/2-1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A-VI/2-2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A-V1/4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A-V1/5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წინააღმდ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გაფართოებული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გაფართოებული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მიექცეს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გაფართოებული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გაფართოებულ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გაფართოებული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ნავთობმზიდ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ქიმმზიდ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ტანკერებზე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ოფიცრებისა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რიგითების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A-V/1-1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A-V/1-1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B-V/1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A-V/1-1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B-V/1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A-V/1-1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თხევად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აირმზიდ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ოფიცრებისა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რიგითების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A-V/1-2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A-V/1-2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B-V/1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A-V/1-2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ოფიცრის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რიგითისა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V/1-2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საბუნკერო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საბუნკერო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A-V/1-2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ექსპლუატაციისთვის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№4943)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საგემბანე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A-V/4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უშიშროებასთან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</w:t>
      </w:r>
      <w:r>
        <w:rPr>
          <w:rFonts w:ascii="Sylfaen" w:hAnsi="Sylfaen" w:cs="Sylfaen"/>
          <w:sz w:val="24"/>
          <w:szCs w:val="24"/>
          <w:lang w:val="ka-GE" w:eastAsia="ka-GE"/>
        </w:rPr>
        <w:t>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მონიტორინგი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A-I/6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(14.11.2014.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№3447)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№3447)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თანაფარდობას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თანაფარდობას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კურსდამთავრებულთა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მონიტორინგი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ანგარიშგება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გააკონტროლონ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დაუთმონ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გააზრებული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ინსტრუქტორის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მეთოდიკასთან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მონიტორინგი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ჯანმრთ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STCW-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STCW-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STCW-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(14.11.2014. N27</w:t>
      </w:r>
      <w:r>
        <w:rPr>
          <w:rFonts w:ascii="Sylfaen" w:hAnsi="Sylfaen" w:cs="Sylfaen"/>
          <w:sz w:val="24"/>
          <w:szCs w:val="24"/>
          <w:lang w:val="ka-GE" w:eastAsia="ka-GE"/>
        </w:rPr>
        <w:t>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  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მონიტორინგი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აუქმება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ანგარიშგება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№3107)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არაზუსტია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ლდებულებანი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ვალდებულებანი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A–I/14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ვერბალური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გემბანზე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მცოდნე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RO-RO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STCW-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B-I/14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SOPEP-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ISM-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SMC-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ISM-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(DOC)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კომუნიკაციისათვის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ვერბალური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ISM-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(DOC)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STCW-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A-VIII/1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დაღლილობის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STCW-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A-VIII/1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B-VIII/1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დაკომპლექტე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SOLAS-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პროცედურა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ასამბლეის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A-890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ხიდურაზე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სიხშირეებზე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ღუზაზე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მიმდგარია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საშეღავათო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საშეღავათო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საშეღავათო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საშეღავათო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რადიოსპეციალისტისა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რადიოტელეფონისტის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საშეღავათო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უმოკლეს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სტანდარტები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სტანდარტები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A-I/8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ემფასებლისთვის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გმილ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აღნუსხულია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A-I/7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საქმიანობაზე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გაყალბებისა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აცილება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საკრუინგო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ეზღვაურებს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მოხერხდა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ეჩზე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ღუზაზე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გადმოიღვარა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მანევრირებისას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ცურავს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საშეღავათო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I/10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რადიოკომუნიკაციაზე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სამორიგეო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შეჩერება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(11.12.2015. N4623)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დარღვევისათვის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თხუთმეტი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თხუთმეტი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ოქმი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უკუქცევითი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ძალა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(11.12.2015. N4623)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(14.11.2014. N2790)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გემბანზე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ხიდურაზე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STCW-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(14.11.2014. N2790)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ზადებისა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დიპლომირების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26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მაცნე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№36, 2000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 104).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დიპლომირების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26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ეწინააღმდეგებიან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ru-RU" w:eastAsia="ru-RU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hAnsi="Sylfaen" w:cs="Sylfaen"/>
          <w:b/>
          <w:bCs/>
          <w:i/>
          <w:iCs/>
          <w:sz w:val="24"/>
          <w:szCs w:val="24"/>
          <w:lang w:val="ru-RU" w:eastAsia="ru-RU"/>
        </w:rPr>
        <w:t xml:space="preserve">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ru-RU" w:eastAsia="ru-RU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ru-RU" w:eastAsia="ru-RU"/>
        </w:rPr>
        <w:t>სააკაშვილი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2011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9F6A8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№5595-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რს</w:t>
      </w:r>
    </w:p>
    <w:p w:rsidR="00000000" w:rsidRDefault="009F6A8B">
      <w:pPr>
        <w:pStyle w:val="Normal0"/>
        <w:rPr>
          <w:rFonts w:ascii="Sylfaen" w:eastAsia="Times New Roman" w:hAnsi="Sylfaen" w:cs="Sylfaen"/>
          <w:lang w:val="ru-RU" w:eastAsia="ru-RU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F6A8B"/>
    <w:rsid w:val="009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18777</Words>
  <Characters>107032</Characters>
  <Application>Microsoft Office Word</Application>
  <DocSecurity>0</DocSecurity>
  <Lines>891</Lines>
  <Paragraphs>251</Paragraphs>
  <ScaleCrop>false</ScaleCrop>
  <Company/>
  <LinksUpToDate>false</LinksUpToDate>
  <CharactersWithSpaces>125558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