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კურორტებისა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საკურორტო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ადგილების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სანიტარიული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ზონების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გაფუჭები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გამოფიტვისაგან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>, "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სან</w:t>
      </w:r>
      <w:r>
        <w:rPr>
          <w:rFonts w:ascii="Sylfaen" w:eastAsia="Times New Roman" w:hAnsi="Sylfaen" w:cs="Sylfaen"/>
          <w:lang w:eastAsia="x-none"/>
        </w:rPr>
        <w:t>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აბინძურებს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ჰაერს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იწვე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ეროზიულ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უარყოფითად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გამაჯანსაღებელი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ლანდშაფტის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ხელსაყრელ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მკურნალობისა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გამაჯანსაღებელ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სანიტარიუ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.),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ჩამოსასხმელად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ორთქლის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ბიშოფიტი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ოზოკერტი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თერმული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მაგნიტური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პლაჟები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კლიმატი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გამაჯანსაღებელი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ტყე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ტყეპარკი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კურორტებისა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</w:t>
      </w:r>
      <w:r>
        <w:rPr>
          <w:rFonts w:ascii="Sylfaen" w:eastAsia="Times New Roman" w:hAnsi="Sylfaen" w:cs="Sylfaen"/>
          <w:lang w:val="en-US"/>
        </w:rPr>
        <w:t>ურორტო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N6987)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კურორტებისა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საკურორტო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ჰიდროდინამიკური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მეტრისა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საზღვრებიდან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დაფიქსირება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</w:t>
      </w:r>
      <w:r>
        <w:rPr>
          <w:rFonts w:ascii="Sylfaen" w:eastAsia="Times New Roman" w:hAnsi="Sylfaen" w:cs="Sylfaen"/>
          <w:lang w:val="en-US"/>
        </w:rPr>
        <w:t>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გასატარებელი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სანიტარიული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რეჟიმი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ესამე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გამოსასვლელები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პლაჟები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ჰიგიენური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</w:t>
      </w:r>
      <w:r>
        <w:rPr>
          <w:rFonts w:ascii="Sylfaen" w:eastAsia="Times New Roman" w:hAnsi="Sylfaen" w:cs="Sylfaen"/>
          <w:lang w:eastAsia="x-none"/>
        </w:rPr>
        <w:t>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ნაგავსაყრელების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(26.12.2014 N 3002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კაპტაჟები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საკაპტაჟე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სატუმბი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მილგაყვანილობა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რეზერვუარები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სააბაზანო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გალერეები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ბიუვეტები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ესტაკადები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დანადგარები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ნაპირსამაგრი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ეროზია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მეწყერსაწინააღმდეგო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საკანალიზაციო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უარყოფითად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საკანალიზაციო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პლაჟების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(29.12..2006 N4223)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კურორტის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პარკები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პარკები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</w:t>
      </w:r>
      <w:r>
        <w:rPr>
          <w:rFonts w:ascii="Sylfaen" w:eastAsia="Times New Roman" w:hAnsi="Sylfaen" w:cs="Sylfaen"/>
          <w:lang w:eastAsia="x-none"/>
        </w:rPr>
        <w:t>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მეცხოველეობისა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მეფრინველეობის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ნაგავსაყრელების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</w:t>
      </w:r>
      <w:r>
        <w:rPr>
          <w:rFonts w:ascii="Sylfaen" w:eastAsia="Times New Roman" w:hAnsi="Sylfaen" w:cs="Sylfaen"/>
          <w:lang w:eastAsia="x-none"/>
        </w:rPr>
        <w:t>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კონტეინერებისა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(26.12.2014 N 3002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შხამ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ქიმიკატების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სასუქებისა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სატრანზიტო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გამწმენდ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საკანალიზაციო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წყალმომარაგების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მებაღეობის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(26.12.2014 N 3002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პირუტყვის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სასაკლაოების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ნახირის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მავნებ</w:t>
      </w:r>
      <w:r>
        <w:rPr>
          <w:rFonts w:ascii="Sylfaen" w:eastAsia="Times New Roman" w:hAnsi="Sylfaen" w:cs="Sylfaen"/>
          <w:lang w:eastAsia="x-none"/>
        </w:rPr>
        <w:t>ლებთან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სარეველებთან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ქიმიკატებისა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ნახმარი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დრენაჟული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ჩაშვება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გაწმენდილი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სიღრმისეული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ჩაშვებისა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წყალსარგე</w:t>
      </w:r>
      <w:r>
        <w:rPr>
          <w:rFonts w:ascii="Sylfaen" w:eastAsia="Times New Roman" w:hAnsi="Sylfaen" w:cs="Sylfaen"/>
          <w:lang w:eastAsia="x-none"/>
        </w:rPr>
        <w:t>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წყალსატევების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ჰიგიენურ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საკარანტინო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უვნებელი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ნაცადი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ქიმიკატებით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საკანალიზაციო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ნიადაგის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უარყოფითად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(29.12..2006 N4223)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ჰიდრომინერალური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კურორტის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შემომსაზღვრელ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მასივებს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ჰიდროგეოლოგიურ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ლანდშაფტურ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კლიმატურ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სანიტარიული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გამოსასვლელებისა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ჭაბურღილე</w:t>
      </w:r>
      <w:r>
        <w:rPr>
          <w:rFonts w:ascii="Sylfaen" w:eastAsia="Times New Roman" w:hAnsi="Sylfaen" w:cs="Sylfaen"/>
          <w:lang w:eastAsia="x-none"/>
        </w:rPr>
        <w:t>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მეტრისა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ჭაბურღილისა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გამოსასვლელის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კონტურიდან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ტიპისა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ჰიდროგეოლოგიური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მეტრისა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წყალსაცავის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დონიდან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სანაპიროდან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ხმელეთზე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100,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წყალსატევში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300 </w:t>
      </w:r>
      <w:r>
        <w:rPr>
          <w:rFonts w:ascii="Sylfaen" w:eastAsia="Times New Roman" w:hAnsi="Sylfaen" w:cs="Sylfaen"/>
          <w:lang w:eastAsia="x-none"/>
        </w:rPr>
        <w:t>მეტრისა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</w:t>
      </w:r>
      <w:r>
        <w:rPr>
          <w:rFonts w:ascii="Sylfaen" w:eastAsia="Times New Roman" w:hAnsi="Sylfaen" w:cs="Sylfaen"/>
          <w:lang w:eastAsia="x-none"/>
        </w:rPr>
        <w:t>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ჰიდროგეოლოგიურ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საბადოებისათვის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ზედაპირული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წყალგამყოფ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t>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გეოსტრუქტურულ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გეომორფოლოგიურ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ჰიდროდინამიკური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</w:t>
      </w:r>
      <w:r>
        <w:rPr>
          <w:rFonts w:ascii="Sylfaen" w:eastAsia="Times New Roman" w:hAnsi="Sylfaen" w:cs="Sylfaen"/>
          <w:lang w:val="en-US"/>
        </w:rPr>
        <w:t>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მეტრისა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N6987)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</w:t>
      </w:r>
      <w:r>
        <w:rPr>
          <w:rFonts w:ascii="Sylfaen" w:eastAsia="Times New Roman" w:hAnsi="Sylfaen" w:cs="Sylfaen"/>
          <w:lang w:eastAsia="x-none"/>
        </w:rPr>
        <w:t>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კურორტისათვის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კლი</w:t>
      </w:r>
      <w:r>
        <w:rPr>
          <w:rFonts w:ascii="Sylfaen" w:eastAsia="Times New Roman" w:hAnsi="Sylfaen" w:cs="Sylfaen"/>
          <w:lang w:eastAsia="x-none"/>
        </w:rPr>
        <w:t>მატი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კლიმატი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</w:t>
      </w:r>
      <w:r>
        <w:rPr>
          <w:rFonts w:ascii="Sylfaen" w:eastAsia="Times New Roman" w:hAnsi="Sylfaen" w:cs="Sylfaen"/>
          <w:lang w:eastAsia="x-none"/>
        </w:rPr>
        <w:t>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აფიქსირებს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N6987)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კურორტებზე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კურორტების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</w:t>
      </w:r>
      <w:r>
        <w:rPr>
          <w:rFonts w:ascii="Sylfaen" w:eastAsia="Times New Roman" w:hAnsi="Sylfaen" w:cs="Sylfaen"/>
          <w:lang w:val="en-US"/>
        </w:rPr>
        <w:t>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მტკიცება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კურორტის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წლისა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N6987)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კურორტებისა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საკურორტო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სანიტარიული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3063)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საპროექტო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დაგეგმარებისა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დახასიათებას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3063)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გამაჯანსაღებელ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320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გასატარებელ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</w:t>
      </w:r>
      <w:r>
        <w:rPr>
          <w:rFonts w:ascii="Sylfaen" w:eastAsia="Times New Roman" w:hAnsi="Sylfaen" w:cs="Sylfaen"/>
          <w:lang w:val="en-US"/>
        </w:rPr>
        <w:t>რდინაციას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N6987)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მარტ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1296 -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320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3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320CF"/>
    <w:rsid w:val="005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2292</Words>
  <Characters>13066</Characters>
  <Application>Microsoft Office Word</Application>
  <DocSecurity>0</DocSecurity>
  <Lines>108</Lines>
  <Paragraphs>30</Paragraphs>
  <ScaleCrop>false</ScaleCrop>
  <Company/>
  <LinksUpToDate>false</LinksUpToDate>
  <CharactersWithSpaces>15328</CharactersWithSpaces>
  <SharedDoc>false</SharedDoc>
  <HyperlinkBase>D:\asmati\1\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