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>, 07/05/2012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040030000.05.001.016700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საჯარო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სამართლის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იურიდიული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პირის</w:t>
      </w:r>
      <w:r>
        <w:rPr>
          <w:rFonts w:ascii="Sylfaen" w:hAnsi="Sylfaen" w:cs="Sylfaen"/>
          <w:b/>
          <w:bCs/>
          <w:sz w:val="32"/>
          <w:szCs w:val="32"/>
        </w:rPr>
        <w:t xml:space="preserve"> –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რეფორმებისა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თანამშრომლობის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ორგანიზაციის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შექმნის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ზოგადი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დებულებები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მიზანი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</w:t>
      </w:r>
      <w:r>
        <w:rPr>
          <w:rFonts w:ascii="Sylfaen" w:hAnsi="Sylfaen" w:cs="Sylfaen"/>
          <w:sz w:val="24"/>
          <w:szCs w:val="24"/>
        </w:rPr>
        <w:t>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 </w:t>
      </w:r>
      <w:r>
        <w:rPr>
          <w:rFonts w:ascii="Sylfaen" w:hAnsi="Sylfaen" w:cs="Sylfaen"/>
          <w:b/>
          <w:bCs/>
          <w:sz w:val="24"/>
          <w:szCs w:val="24"/>
        </w:rPr>
        <w:t>ორგანიზაციის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საქმიანობის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სამართლებრივი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საფუძველი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II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ძირითადი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დებულებები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 </w:t>
      </w:r>
      <w:r>
        <w:rPr>
          <w:rFonts w:ascii="Sylfaen" w:hAnsi="Sylfaen" w:cs="Sylfaen"/>
          <w:b/>
          <w:bCs/>
          <w:sz w:val="24"/>
          <w:szCs w:val="24"/>
        </w:rPr>
        <w:t>ორგანიზაციის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სამართლებრივი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სტატუსი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ინგლ</w:t>
      </w:r>
      <w:r>
        <w:rPr>
          <w:rFonts w:ascii="Sylfaen" w:hAnsi="Sylfaen" w:cs="Sylfaen"/>
          <w:sz w:val="24"/>
          <w:szCs w:val="24"/>
        </w:rPr>
        <w:t>ისურენოვანი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სახელწოდებაა</w:t>
      </w:r>
      <w:r>
        <w:rPr>
          <w:rFonts w:ascii="Sylfaen" w:hAnsi="Sylfaen" w:cs="Sylfaen"/>
          <w:sz w:val="24"/>
          <w:szCs w:val="24"/>
        </w:rPr>
        <w:t xml:space="preserve"> Georgia’s Reforms and Partnership Enterprise (GRAPE).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4. </w:t>
      </w:r>
      <w:r>
        <w:rPr>
          <w:rFonts w:ascii="Sylfaen" w:hAnsi="Sylfaen" w:cs="Sylfaen"/>
          <w:b/>
          <w:bCs/>
          <w:sz w:val="24"/>
          <w:szCs w:val="24"/>
        </w:rPr>
        <w:t>ორგანიზაციის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მიზანი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საქმიანობის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კოორდინირებულად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ცალკეულ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ბრენდის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მსოფლიოში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დამკვიდრებისათვის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</w:t>
      </w:r>
      <w:r>
        <w:rPr>
          <w:rFonts w:ascii="Sylfaen" w:hAnsi="Sylfaen" w:cs="Sylfaen"/>
          <w:sz w:val="24"/>
          <w:szCs w:val="24"/>
        </w:rPr>
        <w:t>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წვლილის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შეგროვება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დამუშავება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ანალიზი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განზოგადება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</w:t>
      </w:r>
      <w:r>
        <w:rPr>
          <w:rFonts w:ascii="Sylfaen" w:hAnsi="Sylfaen" w:cs="Sylfaen"/>
          <w:sz w:val="24"/>
          <w:szCs w:val="24"/>
        </w:rPr>
        <w:t>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მასშტაბით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პოპულარიზაციის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სამაშველო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კრიზისული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სიტუაციების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დაძლევას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5. </w:t>
      </w:r>
      <w:r>
        <w:rPr>
          <w:rFonts w:ascii="Sylfaen" w:hAnsi="Sylfaen" w:cs="Sylfaen"/>
          <w:b/>
          <w:bCs/>
          <w:sz w:val="24"/>
          <w:szCs w:val="24"/>
        </w:rPr>
        <w:t>ორგანიზაციის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ფუნქციები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გაანალიზება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განზოგადება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პოპულარიზაციისათვის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უნივერსალური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პოპულარიზაციაში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სათ</w:t>
      </w:r>
      <w:r>
        <w:rPr>
          <w:rFonts w:ascii="Sylfaen" w:hAnsi="Sylfaen" w:cs="Sylfaen"/>
          <w:sz w:val="24"/>
          <w:szCs w:val="24"/>
        </w:rPr>
        <w:t>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საბრენდო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სლოგანისა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არეალის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დანერგვის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მისაღწევად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მსოფლიოს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დონორ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ჩართვა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ანამშრომლობა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დანერგილი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შეგროვებას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დამუშავებას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თარგმნას</w:t>
      </w:r>
      <w:r>
        <w:rPr>
          <w:rFonts w:ascii="Sylfaen" w:hAnsi="Sylfaen" w:cs="Sylfaen"/>
          <w:sz w:val="24"/>
          <w:szCs w:val="24"/>
        </w:rPr>
        <w:t>);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</w:t>
      </w:r>
      <w:r>
        <w:rPr>
          <w:rFonts w:ascii="Sylfaen" w:hAnsi="Sylfaen" w:cs="Sylfaen"/>
          <w:sz w:val="24"/>
          <w:szCs w:val="24"/>
        </w:rPr>
        <w:t>რმებთან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შეხვედრების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სემინარები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სიმპოზიუმები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ორგანიზებას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საზაფხულო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პარტნიორი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სფეროებში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პარტნიორი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ზემოქმედებით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კატასტროფების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აღმოფხვრაში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დონორ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სქემების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კოორდინაციით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მჭიდრო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ახალგაზრდა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პროფესიონალებისა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ამაღლებისათვის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ტრენინგების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სემინარებისა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სიმპოზიუ</w:t>
      </w:r>
      <w:r>
        <w:rPr>
          <w:rFonts w:ascii="Sylfaen" w:hAnsi="Sylfaen" w:cs="Sylfaen"/>
          <w:sz w:val="24"/>
          <w:szCs w:val="24"/>
        </w:rPr>
        <w:t>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საზღვარგარეთ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ტრენინგებზე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სემინარებსა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ასამაღლებელ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კურსებზე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გაგზავნას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გრანტების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6. </w:t>
      </w:r>
      <w:r>
        <w:rPr>
          <w:rFonts w:ascii="Sylfaen" w:hAnsi="Sylfaen" w:cs="Sylfaen"/>
          <w:b/>
          <w:bCs/>
          <w:sz w:val="24"/>
          <w:szCs w:val="24"/>
        </w:rPr>
        <w:t>ორგანიზაციის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მართვა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წარმომადგენლობა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</w:t>
      </w:r>
      <w:r>
        <w:rPr>
          <w:rFonts w:ascii="Sylfaen" w:hAnsi="Sylfaen" w:cs="Sylfaen"/>
          <w:sz w:val="24"/>
          <w:szCs w:val="24"/>
        </w:rPr>
        <w:t>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ეწეოდეს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საკონტროლო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</w:t>
      </w:r>
      <w:r>
        <w:rPr>
          <w:rFonts w:ascii="Sylfaen" w:hAnsi="Sylfaen" w:cs="Sylfaen"/>
          <w:sz w:val="24"/>
          <w:szCs w:val="24"/>
        </w:rPr>
        <w:t>ჯდომარეს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ეკავოს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წარმოადგენს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</w:t>
      </w:r>
      <w:r>
        <w:rPr>
          <w:rFonts w:ascii="Sylfaen" w:hAnsi="Sylfaen" w:cs="Sylfaen"/>
          <w:sz w:val="24"/>
          <w:szCs w:val="24"/>
        </w:rPr>
        <w:t>პეტენციისთვის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მიკუთვნებულ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საკითხებზე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სტრატეგიას</w:t>
      </w:r>
      <w:r>
        <w:rPr>
          <w:rFonts w:ascii="Sylfaen" w:hAnsi="Sylfaen" w:cs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მმართველ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შედიოდნენ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7. </w:t>
      </w:r>
      <w:r>
        <w:rPr>
          <w:rFonts w:ascii="Sylfaen" w:hAnsi="Sylfaen" w:cs="Sylfaen"/>
          <w:b/>
          <w:bCs/>
          <w:sz w:val="24"/>
          <w:szCs w:val="24"/>
        </w:rPr>
        <w:t>ორგანიზაციის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სტრუქტურა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8. </w:t>
      </w:r>
      <w:r>
        <w:rPr>
          <w:rFonts w:ascii="Sylfaen" w:hAnsi="Sylfaen" w:cs="Sylfaen"/>
          <w:b/>
          <w:bCs/>
          <w:sz w:val="24"/>
          <w:szCs w:val="24"/>
        </w:rPr>
        <w:t>ორგანიზაციის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ქონება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9. </w:t>
      </w:r>
      <w:r>
        <w:rPr>
          <w:rFonts w:ascii="Sylfaen" w:hAnsi="Sylfaen" w:cs="Sylfaen"/>
          <w:b/>
          <w:bCs/>
          <w:sz w:val="24"/>
          <w:szCs w:val="24"/>
        </w:rPr>
        <w:t>ორგანიზაციის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დაფინანსება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კრედიტები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ნებადართული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</w:t>
      </w:r>
      <w:r>
        <w:rPr>
          <w:rFonts w:ascii="Sylfaen" w:hAnsi="Sylfaen" w:cs="Sylfaen"/>
          <w:sz w:val="24"/>
          <w:szCs w:val="24"/>
        </w:rPr>
        <w:t>იელებას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10. </w:t>
      </w:r>
      <w:r>
        <w:rPr>
          <w:rFonts w:ascii="Sylfaen" w:hAnsi="Sylfaen" w:cs="Sylfaen"/>
          <w:b/>
          <w:bCs/>
          <w:sz w:val="24"/>
          <w:szCs w:val="24"/>
        </w:rPr>
        <w:t>ორგანიზაციის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კონტროლი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მიზანშეწონილობას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ეფექტიანობას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ეკონ</w:t>
      </w:r>
      <w:r>
        <w:rPr>
          <w:rFonts w:ascii="Sylfaen" w:hAnsi="Sylfaen" w:cs="Sylfaen"/>
          <w:sz w:val="24"/>
          <w:szCs w:val="24"/>
        </w:rPr>
        <w:t>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შეაჩეროს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გააუქმოს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არამართლზომიერი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11. </w:t>
      </w:r>
      <w:r>
        <w:rPr>
          <w:rFonts w:ascii="Sylfaen" w:hAnsi="Sylfaen" w:cs="Sylfaen"/>
          <w:b/>
          <w:bCs/>
          <w:sz w:val="24"/>
          <w:szCs w:val="24"/>
        </w:rPr>
        <w:t>ორგანიზაციის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საქმიანობის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შეწყვეტისა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ლიკვიდაციის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წესი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III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გარდამავალი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დასკვნითი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დებულებები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12. </w:t>
      </w:r>
      <w:r>
        <w:rPr>
          <w:rFonts w:ascii="Sylfaen" w:hAnsi="Sylfaen" w:cs="Sylfaen"/>
          <w:b/>
          <w:bCs/>
          <w:sz w:val="24"/>
          <w:szCs w:val="24"/>
        </w:rPr>
        <w:t>გარდამავალი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დებულებები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</w:t>
      </w:r>
      <w:r>
        <w:rPr>
          <w:rFonts w:ascii="Sylfaen" w:hAnsi="Sylfaen" w:cs="Sylfaen"/>
          <w:sz w:val="24"/>
          <w:szCs w:val="24"/>
        </w:rPr>
        <w:t>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ამოქმედება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</w:t>
      </w:r>
      <w:r>
        <w:rPr>
          <w:rFonts w:ascii="Sylfaen" w:hAnsi="Sylfaen" w:cs="Sylfaen"/>
          <w:sz w:val="24"/>
          <w:szCs w:val="24"/>
        </w:rPr>
        <w:t xml:space="preserve">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24 </w:t>
      </w:r>
      <w:r>
        <w:rPr>
          <w:rFonts w:ascii="Sylfaen" w:hAnsi="Sylfaen" w:cs="Sylfaen"/>
          <w:sz w:val="24"/>
          <w:szCs w:val="24"/>
        </w:rPr>
        <w:t>აპრილი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№6059-I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1E569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Literaturuly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PLiteraturul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Grotes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PAcadem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210" w:hanging="850"/>
      </w:pPr>
    </w:lvl>
    <w:lvl w:ilvl="2">
      <w:start w:val="1"/>
      <w:numFmt w:val="decimal"/>
      <w:lvlText w:val="%3."/>
      <w:lvlJc w:val="left"/>
      <w:pPr>
        <w:ind w:left="1570" w:hanging="850"/>
      </w:pPr>
    </w:lvl>
    <w:lvl w:ilvl="3">
      <w:start w:val="1"/>
      <w:numFmt w:val="decimal"/>
      <w:lvlText w:val="%4."/>
      <w:lvlJc w:val="left"/>
      <w:pPr>
        <w:ind w:left="1930" w:hanging="850"/>
      </w:pPr>
    </w:lvl>
    <w:lvl w:ilvl="4">
      <w:start w:val="1"/>
      <w:numFmt w:val="decimal"/>
      <w:lvlText w:val="%5."/>
      <w:lvlJc w:val="left"/>
      <w:pPr>
        <w:ind w:left="2290" w:hanging="850"/>
      </w:pPr>
    </w:lvl>
    <w:lvl w:ilvl="5">
      <w:start w:val="1"/>
      <w:numFmt w:val="decimal"/>
      <w:lvlText w:val="%6."/>
      <w:lvlJc w:val="left"/>
      <w:pPr>
        <w:ind w:left="2650" w:hanging="850"/>
      </w:pPr>
    </w:lvl>
    <w:lvl w:ilvl="6">
      <w:start w:val="1"/>
      <w:numFmt w:val="decimal"/>
      <w:lvlText w:val="%7."/>
      <w:lvlJc w:val="left"/>
      <w:pPr>
        <w:ind w:left="3010" w:hanging="850"/>
      </w:pPr>
    </w:lvl>
    <w:lvl w:ilvl="7">
      <w:start w:val="1"/>
      <w:numFmt w:val="decimal"/>
      <w:lvlText w:val="%8."/>
      <w:lvlJc w:val="left"/>
      <w:pPr>
        <w:ind w:left="3370" w:hanging="850"/>
      </w:pPr>
    </w:lvl>
    <w:lvl w:ilvl="8">
      <w:start w:val="1"/>
      <w:numFmt w:val="decimal"/>
      <w:lvlText w:val="%9."/>
      <w:lvlJc w:val="left"/>
      <w:pPr>
        <w:ind w:left="3730" w:hanging="850"/>
      </w:pPr>
    </w:lvl>
  </w:abstractNum>
  <w:num w:numId="1" w16cid:durableId="162742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E569A"/>
    <w:rsid w:val="001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360" w:after="120" w:line="240" w:lineRule="auto"/>
      <w:jc w:val="center"/>
      <w:outlineLvl w:val="0"/>
    </w:pPr>
    <w:rPr>
      <w:rFonts w:ascii="SPLiteraturuly MT" w:hAnsi="SPLiteraturuly MT" w:cs="SPLiteraturuly MT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40" w:after="0" w:line="240" w:lineRule="atLeast"/>
      <w:jc w:val="center"/>
      <w:outlineLvl w:val="1"/>
    </w:pPr>
    <w:rPr>
      <w:rFonts w:ascii="SPLiteraturuly" w:hAnsi="SPLiteraturuly" w:cs="SPLiteraturuly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after="0" w:line="240" w:lineRule="atLeast"/>
      <w:jc w:val="center"/>
      <w:outlineLvl w:val="2"/>
    </w:pPr>
    <w:rPr>
      <w:rFonts w:ascii="SPLiteraturuly MT" w:hAnsi="SPLiteraturuly MT" w:cs="SPLiteraturuly MT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tabs>
        <w:tab w:val="left" w:pos="720"/>
      </w:tabs>
      <w:spacing w:before="240" w:after="0" w:line="240" w:lineRule="auto"/>
      <w:outlineLvl w:val="5"/>
    </w:pPr>
    <w:rPr>
      <w:rFonts w:ascii="SPLiteraturuly" w:hAnsi="SPLiteraturuly" w:cs="SPLiteraturuly"/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SPLiteraturuly MT" w:hAnsi="SPLiteraturuly MT" w:cs="SPLiteraturuly MT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SPLiteraturuly" w:hAnsi="SPLiteraturuly" w:cs="SPLiteraturuly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SPLiteraturuly MT" w:hAnsi="SPLiteraturuly MT" w:cs="SPLiteraturuly MT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SPLiteraturuly" w:hAnsi="SPLiteraturuly" w:cs="SPLiteraturuly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pPr>
      <w:pageBreakBefore/>
      <w:spacing w:before="120" w:after="0" w:line="240" w:lineRule="auto"/>
      <w:jc w:val="center"/>
    </w:pPr>
    <w:rPr>
      <w:rFonts w:ascii="SPLiteraturuly" w:hAnsi="SPLiteraturuly" w:cs="SPLiteraturuly"/>
      <w:i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SPLiteraturuly" w:hAnsi="SPLiteraturuly" w:cs="SPLiteraturuly"/>
      <w:i/>
      <w:iCs/>
      <w:sz w:val="20"/>
      <w:szCs w:val="20"/>
    </w:rPr>
  </w:style>
  <w:style w:type="paragraph" w:customStyle="1" w:styleId="abzacixml">
    <w:name w:val="abzaci_xml"/>
    <w:basedOn w:val="PlainText"/>
    <w:uiPriority w:val="99"/>
    <w:pPr>
      <w:pageBreakBefore w:val="0"/>
      <w:spacing w:before="0"/>
      <w:ind w:firstLine="283"/>
      <w:jc w:val="both"/>
    </w:pPr>
    <w:rPr>
      <w:rFonts w:ascii="Sylfaen" w:hAnsi="Sylfaen" w:cs="Sylfaen"/>
      <w:i w:val="0"/>
      <w:iCs w:val="0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sulcvlilebaxml">
    <w:name w:val="sul_cvlileba_xml"/>
    <w:basedOn w:val="sataurixml"/>
    <w:uiPriority w:val="99"/>
    <w:pPr>
      <w:jc w:val="left"/>
    </w:pPr>
    <w:rPr>
      <w:sz w:val="22"/>
      <w:szCs w:val="22"/>
    </w:rPr>
  </w:style>
  <w:style w:type="paragraph" w:customStyle="1" w:styleId="tarigixml">
    <w:name w:val="tarigi_xml"/>
    <w:basedOn w:val="abzacixml"/>
    <w:uiPriority w:val="99"/>
    <w:pPr>
      <w:spacing w:before="120" w:after="12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</w:rPr>
  </w:style>
  <w:style w:type="paragraph" w:customStyle="1" w:styleId="ckhrilixml">
    <w:name w:val="ckhrili_xml"/>
    <w:basedOn w:val="abzacixml"/>
    <w:uiPriority w:val="99"/>
    <w:pPr>
      <w:ind w:firstLine="0"/>
      <w:jc w:val="left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pPr>
      <w:tabs>
        <w:tab w:val="left" w:pos="720"/>
      </w:tabs>
      <w:spacing w:before="6000" w:after="60" w:line="240" w:lineRule="auto"/>
      <w:jc w:val="center"/>
    </w:pPr>
    <w:rPr>
      <w:rFonts w:ascii="SPGrotesk" w:hAnsi="SPGrotesk" w:cs="SPGrotesk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SPGrotesk" w:hAnsi="SPGrotesk" w:cs="SPGrotesk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720"/>
      </w:tabs>
      <w:spacing w:after="0" w:line="240" w:lineRule="auto"/>
      <w:jc w:val="both"/>
    </w:pPr>
    <w:rPr>
      <w:rFonts w:ascii="SPLiteraturuly" w:hAnsi="SPLiteraturuly" w:cs="SPLiteraturuly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SPLiteraturuly" w:hAnsi="SPLiteraturuly" w:cs="SPLiteraturuly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ascii="SPAcademi" w:hAnsi="SPAcademi" w:cs="SPAcadem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PAcademi" w:hAnsi="SPAcademi" w:cs="SPAcademi"/>
      <w:sz w:val="28"/>
      <w:szCs w:val="28"/>
    </w:rPr>
  </w:style>
  <w:style w:type="character" w:customStyle="1" w:styleId="BodyTextChar1">
    <w:name w:val="Body Text Char1"/>
    <w:basedOn w:val="DefaultParagraphFont"/>
    <w:uiPriority w:val="99"/>
  </w:style>
  <w:style w:type="paragraph" w:styleId="BodyText2">
    <w:name w:val="Body Text 2"/>
    <w:basedOn w:val="Normal"/>
    <w:link w:val="BodyText2Char"/>
    <w:uiPriority w:val="99"/>
    <w:pPr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</w:rPr>
  </w:style>
  <w:style w:type="character" w:customStyle="1" w:styleId="BodyText2Char1">
    <w:name w:val="Body Text 2 Char1"/>
    <w:basedOn w:val="DefaultParagraphFont"/>
    <w:uiPriority w:val="99"/>
  </w:style>
  <w:style w:type="paragraph" w:styleId="E-mailSignature">
    <w:name w:val="E-mail Signature"/>
    <w:basedOn w:val="Normal"/>
    <w:link w:val="E-mailSignatureChar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Times New Roman" w:hAnsi="Times New Roman" w:cs="Times New Roman"/>
    </w:rPr>
  </w:style>
  <w:style w:type="character" w:customStyle="1" w:styleId="E-mailSignatureChar1">
    <w:name w:val="E-mail Signature Char1"/>
    <w:basedOn w:val="DefaultParagraphFont"/>
    <w:uiPriority w:val="99"/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paragraph" w:customStyle="1" w:styleId="tavisataurixml">
    <w:name w:val="tavi_satauri_xml"/>
    <w:basedOn w:val="Normal"/>
    <w:uiPriority w:val="99"/>
    <w:pPr>
      <w:spacing w:after="240" w:line="240" w:lineRule="auto"/>
      <w:jc w:val="center"/>
    </w:pPr>
    <w:rPr>
      <w:rFonts w:ascii="Sylfaen" w:hAnsi="Sylfaen" w:cs="Sylfaen"/>
      <w:b/>
      <w:bCs/>
    </w:rPr>
  </w:style>
  <w:style w:type="paragraph" w:customStyle="1" w:styleId="tavixml">
    <w:name w:val="tavi_xml"/>
    <w:basedOn w:val="Normal"/>
    <w:uiPriority w:val="99"/>
    <w:pPr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after="0" w:line="240" w:lineRule="exact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satauri2">
    <w:name w:val="satauri2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Pr>
      <w:position w:val="5"/>
    </w:rPr>
  </w:style>
  <w:style w:type="character" w:customStyle="1" w:styleId="FootnoteTextChar1">
    <w:name w:val="Footnote Text Char1"/>
    <w:basedOn w:val="DefaultParagraphFont"/>
    <w:uiPriority w:val="99"/>
    <w:rPr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EnvelopeReturnChar">
    <w:name w:val="Envelope Return Char"/>
    <w:basedOn w:val="DefaultParagraphFont"/>
    <w:uiPriority w:val="99"/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