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პროდუქტის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უსაფრთხოებისა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თავისუფალი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მიმოქცევის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კოდექსი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დებულებანი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მიზანი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ანთავსება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მიმოქცევა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</w:t>
      </w:r>
      <w:r>
        <w:rPr>
          <w:rFonts w:ascii="Sylfaen" w:eastAsia="Times New Roman" w:hAnsi="Sylfaen" w:cs="Sylfaen"/>
          <w:sz w:val="24"/>
          <w:szCs w:val="24"/>
          <w:lang w:val="en-US"/>
        </w:rPr>
        <w:t>ედველობისა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დამყარებული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გამიჯვნა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მეტროლოგიის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ევროკავშირის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დაახლოება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პრინციპები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გავრცელებას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აირჩიოს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დააკმაყოფილოს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არადისკრიმინაციულ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მიდგომას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ვაჭრობაში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ბარიერების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ჰარმონიზებული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ჰარმონიზაცია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ვაჭრობაში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არასატარიფო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ბარიერების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ევროკომისიის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გლობალური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მიდგომის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დირექტივების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დაშვება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</w:t>
      </w:r>
      <w:r>
        <w:rPr>
          <w:rFonts w:ascii="Sylfaen" w:eastAsia="Times New Roman" w:hAnsi="Sylfaen" w:cs="Sylfaen"/>
          <w:sz w:val="24"/>
          <w:szCs w:val="24"/>
          <w:lang w:val="en-US"/>
        </w:rPr>
        <w:t>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III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გაშვებისას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განმარტება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მოძრავი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ნივთი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ნივთთან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მომსახურება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თუნდაც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ნივთი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მოძრავი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უძრავი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ნივთის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შემადგენელი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ნივთი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სურსათის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პირველად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როდუქტს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ნადირობის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მოპოვებულ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 „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უშუალოდ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არაკომერ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დანიშნულებისამებრ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ვარგისობის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მიჩნეულ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მიჩნევის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განმარტებას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დასრულებული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ნედლი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მასალის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შემადგენელი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გადამკეთებელი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სახელი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განმასხვავებელი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ნიშანი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განთავსებულია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მწარმოებლად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წარმოადგენს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დამამზადებლის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განმათავსებელი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დამამზადებელს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დისტრიბუტორი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როდუქტით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ნაცვლად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ინდუსტრიული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№2757 (31.10.2018. №3690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sz w:val="20"/>
          <w:szCs w:val="20"/>
          <w:lang w:eastAsia="x-none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დაექვემდებაროს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დახვეწის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მაგალითად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აბაჟო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სადემონსტრაციოდ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დასაწყობების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დასაწყობებისათვის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დაპროექტების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16.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გამოთხოვა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მიმართულია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სახიფათო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დაბრუნებისკენ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მწარმოებლის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დისტრიბუტორის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ერ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უკვე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მიწოდებულია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სხვაგვარად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ხელმისაწვდომი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მომხმარებლისათვის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17.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ამოღება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მიმართულია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სახიფათო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დისტრიბუციის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მომხმარებლისათვის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შეთავაზების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შეწყვეტისაკენ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მიდგომის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ევროკომისიის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გლობალური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მიდგომის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მეტროლოგიის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19.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(SI)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დაფასოებული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შეფუთული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შეფუთვაზე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სიზუსტით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ნომინალურ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შეიცვალოს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გახსნის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ხილული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№2757 (31.10.2018. №3690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</w:t>
      </w:r>
      <w:r>
        <w:rPr>
          <w:rFonts w:ascii="Sylfaen" w:hAnsi="Sylfaen" w:cs="Sylfaen"/>
          <w:sz w:val="20"/>
          <w:szCs w:val="20"/>
          <w:lang w:eastAsia="x-none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წუნდებული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განთავსებისათვის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განმარტება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ტერმინებს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შემდ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ეგი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წუნდებული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ისეთ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ელის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მისგან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წარმოდგენის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ჩვეულებრივი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პირობებში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პერიოდისათვის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ოთხოვნების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განთავსდა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მოთხოვნებთან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შეუსაბამობით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დამდგარი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შედეგი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გამოიწვია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: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დაზიანება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გარდაცვალება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აზიანება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განადგურება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თავად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წუნდებული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ღირებულება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300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ლარზე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მეტია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მწარმოებლის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პასუხისმგებლობა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პასუხს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აგებს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ზიანისათვის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გამოწვეულია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წუნდებული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მწ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არმოებლის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მიკვლევა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შეუძლებელია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თუნდაც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სახელი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ფაქტობრივად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განმათავსებელი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ითვლება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მწარმოებლად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გონივრულ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ატყობინებს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დაზარალებულს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მწარმოებლის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დგილსამყოფელს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მიაწოდა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მტკიცების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ტვირთი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დაზარალებულს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ეკისრება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დაზარალებული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დაამტკიცოს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წუნდებულ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პროდუქტსა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მიყენებულ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ზიანს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მიზეზშედეგობრივი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მიყენებისათვ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პასუხისმგებელია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ორი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ისინი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პასუხს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აგებენ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სოლიდარულად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წილობრივად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დანაწილებით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თავისუფლდება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პასუხისმგებლობისგან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დაამტკიცებს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მუხლ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ნაწილების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წუნდებული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განთავსდეს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მკაფიოდ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წუნდებულია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პასუხისმგებელია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შემთხვევაშიც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ერთდროულად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წუნდებული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პროდუქტითა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მესა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ქმედებით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გამოწვეული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მწარმოებლის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შემცირდეს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გამოირიცხოს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გარკვეული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გარემოების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არსებობისას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გამოიწვია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წუნმა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დაზარალებულის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არასწორმა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ქმედებამ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რომელზედაც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პასუხისმგებელია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დაზარალებული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ხანდაზმულობის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ანაზღაურებისათვის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ვადაა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ათვლა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იწყება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მომენტიდან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დაზარალებულმა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გაიგო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გაეგო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მიადგა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მოახდინა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წუნისა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მწარმოებლის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იდენტიფიცირება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დაზარალებულს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მოითხოვოს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ანაზღაურება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გამომწვევი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მომენტიდან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დაზარალებულმა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მწარმოებლის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წინააღმდ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ეგ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სარჩელი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შეიტანა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მწარმოებლის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პასუხისმგებლობისაგან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გათავისუფლება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მწარმოებლის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შეიზღუდოს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გამოირიცხოს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განუთავსებია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წუნი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გამიზნული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დისტრიბუციისათვის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ყოფილა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გავრცელებული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წუნი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ცოდნა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მიმოქცევაში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წუნის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ჰქონოდა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წუნი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დიზაინით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წუნდებული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გამოუწვევია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III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მოთხოვნები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უსაფ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რთხოების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უზრუნველყოფა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განათავსოს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გააფრთხილოს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არათვალსაჩინო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იშნულებისამებრ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იმოქმედოს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ლისხმიერებით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გაავრცელოს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</w:t>
      </w:r>
      <w:r>
        <w:rPr>
          <w:rFonts w:ascii="Sylfaen" w:eastAsia="Times New Roman" w:hAnsi="Sylfaen" w:cs="Sylfaen"/>
          <w:sz w:val="24"/>
          <w:szCs w:val="24"/>
          <w:lang w:val="en-US"/>
        </w:rPr>
        <w:t>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დისტრიბუტორმა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დისტრიბუტორი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ითანამშრომლონ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განსათავსებლად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ანტიკვარიატი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>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შეკეთდეს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გადაკეთდეს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მკაფიოდ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შეფასება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შეფასებისას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მხედველობაში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მიიღება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მახასიათებლები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შემადგენლობა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შეფუთვა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აწ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ყობის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მონტაჟისა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შეკეთების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ინსტრუქციები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გავლენა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გონივრული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სავარაუდოა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პრეზენტირება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ეტიკეტირება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გაფრთხილება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სტრუქცია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გამოყენებისა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განადგურების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შეეხება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მომხმარებელთა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ასაკობრივი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კატეგორიები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რომელთაც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მიადგეს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უსაფრთხო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მიჩნეულ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სახიფათო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პროდუქტად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მაღალი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მიღწევის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უსაფრთხო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უსაფრთხო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განთავსება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გააფრთხილოს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ალსაჩინო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არათვალსაჩინო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დანიშნულებისამებრ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გამოვლინდეს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გაფრთხილება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ათავისუფლებს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შესრულებისაგან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ითვალისწინებდეს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შესაძლებლობას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მისცემს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: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გააანალიზოს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რისკი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შეიძლე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გამოიწვიოს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პროდუქტმა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ზომები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ასაცილებლად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გააფრთხილოს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მომხმარებელი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გამოითხოვოს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მომხმარებლისაგან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ბაზრიდან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მწარმოებელმა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დისტრიბუტორს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რისკების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რათა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დისტრიბუტორმა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შეძლოს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მწარმოებელმა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დისტრიბუტორმა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იციან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ხელთ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ინფორმაციისა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ცოდნის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სცოდნოდათ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ეიცავს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რისკს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აცნობონ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მიაწოდონ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ჯგუ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ფის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ზუსტი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იდენტიფიცირებისათვის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რისკების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იძლევა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მიკვლევადობის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საშუალებას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აღწერა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საჭიროა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ასაცილებლად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მწარმოე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დისტრიბუტორი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ვალდებული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ითანამშრომლონ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ორგანოსთან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განხორციელებაში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მიწოდებული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გამოწვეული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აცილებას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12.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შესახებ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დისტრიბუტორი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მომხმარებელს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უტყუარი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სწორი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არჩევნის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შესაძლებლობას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მისცემს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მომხმარებელს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მიეწოდოს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ინფო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დასახელება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სახე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დამამზადებლის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საფირმო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სახელწოდება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მისამართი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დასახელება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დამზადებულია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ვარგისობის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ბოლო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თარიღი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დამზადებ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თარიღი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შენახვის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სამომხმარებლო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თვისებები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დროთა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უარესდება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წონა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მოცულობა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სამომხმარებლო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თვისებების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ნუსხა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შედეგიანი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უსაფრთხო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შენახვის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მწარმოებლის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დისტრიბუტორის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დათქმის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საგარანტიო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ვალდებულებები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ვარგისობის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მოქმედებები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განუხორციელებლობის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მოსალოდნელი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შედეგები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ქართულ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ენაზე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მომხმარებლისათვის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დადგენილია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განსხვავებული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მოქმედებს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5.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ab/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მწარმოებელს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დისტრიბუტორს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მომხმარებელს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ვიდრე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გათვალისწინებულია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გარანტიით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ყიდის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დაიცვას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გარანტიის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მყიდველი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მოითხოვოს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გარანტიის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გარანტია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ათავისუფლებს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მიყენებისათვის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პასუხი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სმგებლობისაგან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შემადგენელ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ნაწილებზე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დასაქმებულისა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მწარმოებლის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მიმართ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დანადგარები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იზრუნოს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გამყიდველი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IV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კონტროლი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მომეტებ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მონტაჟი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ნგრევის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აფეთქების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ემისიისა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ინტოქსიკაციის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მომეტებ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>1</w:t>
      </w:r>
      <w:r>
        <w:rPr>
          <w:rFonts w:eastAsia="Times New Roman"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ომლებისთვისაც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უვნებლობის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ტერინარიისა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№5690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№3220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ამხანაგობების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კვანძების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მონტაჟი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დემონტაჟი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მოსარგებლეზე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დაუდგენელია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მოსარგებლეზე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დაუდგენელია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მრავალბინიანი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სარეკონსტრუქციო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სადემონტაჟო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ავარიული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ავარიულობის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რადიოაქტიური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</w:t>
      </w:r>
      <w:r>
        <w:rPr>
          <w:rFonts w:ascii="Sylfae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4"/>
          <w:szCs w:val="24"/>
          <w:lang w:val="en-US"/>
        </w:rPr>
        <w:t xml:space="preserve"> (11.11.2015. N4492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 xml:space="preserve">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hAnsi="Sylfaen" w:cs="Sylfaen"/>
          <w:sz w:val="24"/>
          <w:szCs w:val="24"/>
          <w:lang w:eastAsia="x-non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(27.06.2018.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№2632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აგვისტოდან</w:t>
      </w:r>
      <w:r>
        <w:rPr>
          <w:rFonts w:ascii="Sylfaen" w:hAnsi="Sylfaen" w:cs="Sylfaen"/>
          <w:sz w:val="24"/>
          <w:szCs w:val="24"/>
          <w:lang w:eastAsia="x-non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№4101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№3220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განმარტება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ნაკეთობა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კომბინაცია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(13.04.2016. N4962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hAnsi="Sylfaen" w:cs="Sylfaen"/>
          <w:sz w:val="24"/>
          <w:szCs w:val="24"/>
          <w:lang w:eastAsia="x-non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ბრუნვაში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მონტაჟი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ნგრევის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აფეთქების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ემისიისა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ინტოქსიკაციის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ავარია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ნგრევა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აფეთქება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ინტოქსიკაციას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სიკვდილს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ფასეულობებს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წუნი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განეკუთვნებოდეს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არაარსებით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კრიტიკულ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არაარსებითი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გამოსწორება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ჩვეულებრივი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I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გამოსწორება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მოშობს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თუმცა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მომავალში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გამოუსწორებლობა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II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აბამობა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გამოსწორება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თუმცა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მომავალში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გამოუსწორებლობა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I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გამოსწორება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II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გამოსწორება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რეგლამენტებით</w:t>
      </w:r>
      <w:r>
        <w:rPr>
          <w:rFonts w:ascii="Sylfaen" w:hAnsi="Sylfaen" w:cs="Sylfaen"/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№3220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position w:val="-2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სპეციფიკაცია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სპეციფიკაცია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მომხდარი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პარამეტრებს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მონტაჟის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რეკონსტრუქციის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დემონტაჟის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№6937)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სიმტკიცე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ნაკეთობისა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შეერთების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კვანძების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საძირკვლის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გრუნტის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აიტანოს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დატვირთვების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შეინარჩუნოს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წონასწორობა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დატვირთვების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ზეგავლენისას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საიმედოობა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მზიდი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უკვეთავს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მენარდე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სამონტაჟო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მოსარგებლე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წარმოეშვა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განუხორციელებია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ჟ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დამრღვევისთვის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გამოსწორება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5" w:history="1">
        <w:r>
          <w:rPr>
            <w:rStyle w:val="Hyperlink"/>
            <w:rFonts w:ascii="Sylfaen" w:eastAsia="Times New Roman" w:hAnsi="Sylfaen" w:cs="Sylfaen"/>
            <w:noProof/>
            <w:color w:val="auto"/>
            <w:sz w:val="24"/>
            <w:szCs w:val="24"/>
            <w:u w:val="none"/>
            <w:lang w:val="ka-GE" w:eastAsia="ka-GE"/>
          </w:rPr>
          <w:t>„წყლის შესახებ“ საქართველოს კანონით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სარეკრეაციო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გრაფიკულ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დედაქალაქების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სარეკრეაციო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(06.09.2013. N1041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52F19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გამოსასწორებლად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მანქანა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ლაბორატორიის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№5690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>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№2757 (31.10.2018. №3690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დისტრიბუტორი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№2757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))</w:t>
      </w:r>
    </w:p>
    <w:p w:rsidR="00000000" w:rsidRDefault="00552F19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№2757 (31.10.2018. №3690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№5690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>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№2757 (31.10.2018. №3690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№5690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უფლებამოსილებები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№5690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№2757 (31.10.2018. №3690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აკისრებს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№5690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№2757 (31.10.2018. №3690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ეწყობას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მშენებლობადამთავრებული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ტრენინგებსა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(06.09.2013. N1041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მშენებლობადამთავრებული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საექსპლუატაციო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საიმედოობის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გააკონტროლოს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საშემსრულებლო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ნაკეთობები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კონსტრუქციები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უპასუხებს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აიკრძალოს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გაუთვალისწინებლობა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ეჭვის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დამკვეთს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დამონტაჟებული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კონსტრუქციული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სიმტკიცე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საიმედოობა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კონსტრუქციული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სიმტკიცე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საიმედოობა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№3220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რციელებასა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უწყებრივი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რეესტრი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ობიექტები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ზედამხედველობა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პარამეტრები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ნიადაგის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გაკეთებული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დატერასებული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ხერხით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შახტი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შახტი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ფენოვანი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გამოქვაბული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მღვიმე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დამიანთა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(26.12.2014. N3004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(26.12.2014. N3004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552F19">
      <w:pPr>
        <w:pStyle w:val="Normal0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ჟანგბადის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აფეთქებასაფრთხიანი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თხევადი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ჟანგბადის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52F19">
      <w:pPr>
        <w:pStyle w:val="Normal0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რეზერვუარში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ცილინდრში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ჟანგბადის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ჩაჭირხვნა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52F19">
      <w:pPr>
        <w:pStyle w:val="Normal0"/>
        <w:ind w:firstLine="720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ამიაკზე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სამაცივრო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ნავთობბაზა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ნავთობსადენი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გაზსადენი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ლიფტი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ფუნიკულიორი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საბაგირო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ატრაქციონი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საქვაბე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წნევაზე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ჭურჭელი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ხელოვნური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წყალსატევები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კაშხლები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სარეგულაციო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კონსტრუქციული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№2757 (31.10.2018. №3690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))</w:t>
      </w:r>
    </w:p>
    <w:p w:rsidR="00000000" w:rsidRDefault="00552F1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ავტოგასამართი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ავტოგასამართი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კომპლექსი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ავტოგასამართი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აირგასამართი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აირსავსები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სადგურები</w:t>
      </w:r>
      <w:r>
        <w:rPr>
          <w:rFonts w:ascii="Sylfaen" w:eastAsia="Times New Roman" w:hAnsi="Sylfaen" w:cs="Sylfaen"/>
          <w:lang w:val="ka-GE" w:eastAsia="ka-GE"/>
        </w:rPr>
        <w:t xml:space="preserve">).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(29.06.2012 N 6606)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ავტოგასამართი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ოგასამართი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კომპლექსის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ავტოგასამართი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აირგასამართი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აირსავსები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დამონტაჟების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პარამეტრები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8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№2757 (31.10.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2018. №3690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კონტროლისა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ფორმები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არაარსებით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აკეთებს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№2757 (31.10.2018. №3690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აჯარიმებს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აკეთებს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დათქმული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გამოუსწორებლობის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ნაკეთობის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კომბინაციის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აჯარიმებს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აკეთებს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დათქმული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გაჩერებული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ლუატაცია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აჯარიმებს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აჩერებს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ნაკეთობის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კომბინაციის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აჯარიმებს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საჯარიმო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საჯარიმო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გაზარდოს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გაჩერებული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აჯარიმებს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აჩერებს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გასამმაგებას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გამოუსწორებლობის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გამოსასწორებლად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გასამმაგებული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გასამმაგდება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ეკუთვნებოდეს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არაარსებით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კრიტიკულ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(OECD)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ჩაუტარებლობის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ჩაუტარებლობისა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აჯარიმებს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ჩაუტარებლობის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ორმაგდება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№5690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>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ეჭვი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დააკმაყოფილოს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კომპონენტი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ეჭვი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ეჭვი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მოხერხდება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მოჩენასა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შეუჩერებია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სერიოზულ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ნაერთებს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ინარჩუნებდეს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მპლექსურობიდან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-17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აჩერებს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ხერხები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№5690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>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ენილია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რეგლამენტებით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რომლებისთვისაც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№5690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color w:val="333333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42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color w:val="333333"/>
          <w:sz w:val="20"/>
          <w:szCs w:val="20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საფუძველი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ეჭვის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ორგანოლეპტიკური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ფორსმაჟორის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მოჰყვა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სიკვდილი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მოვალეობები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№2757 (31.10.2018. №3690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(29.06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№2757 (31.10.2018. №3690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№2757 (31.10.2018. №3690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(OECD)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№2757 (31.10.2018. №3690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(29.06.2018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№2757 (31.10.2018. №3690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№2757 (31.10.2018. №3690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№2757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№2757 (31.10.2018. №3690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№2757 (31.10.2018. №3690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გამორიცხვა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დაპროექტებაში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მონტაჟსა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რემონტში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ურთიერთჩანაცვლებადი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დაპროექტებაში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მონტაჟსა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მოვალეობები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უზრუნველყოფა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ტრენინგის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(19.02.2019.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№4285)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დაუცვე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გარშემომყოფთათვის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დემონტაჟის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გასაჩივრებაც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აჩერებს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№6937)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დემონტაჟისა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დამრღვევისთვის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გასაჩივრებაც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აჩერებს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დემონტაჟის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№6937)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ედგეს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(07.03.2018.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№2051)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უნებართვოდ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ლეგალიზების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გამომრიცხავი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შემთანხმებელმა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ლეგალიზების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№2051)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ხერხდება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შემომფარგვლელი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მრავალბინიანი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აჩერებს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საჯარიმო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საეტაპო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20"/>
        <w:jc w:val="both"/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№3220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(07.03.2018.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№2051)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552F19">
      <w:pPr>
        <w:spacing w:after="0" w:line="240" w:lineRule="auto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25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№3220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552F19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25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ფუნქციონირება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გარეშე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ვრცელდება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ობიექტზე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ნებართვა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იანვრამდე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გაიცა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მომარაგება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მომარაგებ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სცდებოდეს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მომარაგებასთან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სამართალდარღვევისათვის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საჯარიმო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დამკვეთად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მენარდის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აღმოუფხვრელობის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საჯარიმო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მეხუთე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(02.04.2014. N2171)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№6937)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№3220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უნებართვოდ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ლეგალიზების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კარიერის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მაღაროს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შახტის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ნავთობბაზის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ნავთობსადენის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გაზსადენის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ჰიდროენერგეტიკული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ნაგებო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ექსპლუატაციისას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ნავთობბაზის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ნავთობსადენის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გაზსადენის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ნავთობბაზის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ნავთობსადენის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გაზსადენის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ნავთობბაზის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ნავთობსადენის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გაზსადენის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ნავთობბაზის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ნავთობსადენის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გაზსადენის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27</w:t>
      </w:r>
      <w:r>
        <w:rPr>
          <w:rFonts w:eastAsia="Times New Roman"/>
          <w:b/>
          <w:bCs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ავტოგასამართი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სადგურის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ავტოგასამართი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კომპლექსის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ავტოგასამართი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აირგასამართი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აირსავსები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სადგურის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ვიდეოტექნიკის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დამონტაჟების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მახასიათე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ბლებისა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ავტოგასამართი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ავტოგასამართი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კომპლექსის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ავტოგასამართი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აირგასამართი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აირსავსები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დამონტაჟების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–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მასთან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აფეთქებასაფრთხიანი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პროცესის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თხევადი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რეზერვუარში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ცილინდრში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ჩაჭირხვნის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გამოყენებადი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ამიაკზე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მომუშავე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სამაცივრო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ფუნიკულიორის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საბაგირო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გზის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ატრაქციონის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საქვაბე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წნევაზე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მომუშავ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ჭურჭლის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აირსავსები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აირგასამართი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სადგურების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ექსპლუატაციისას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დარღვევა</w:t>
      </w:r>
      <w:r>
        <w:rPr>
          <w:rFonts w:ascii="Sylfaen" w:hAnsi="Sylfaen" w:cs="Sylfaen"/>
          <w:color w:val="000000"/>
          <w:lang w:val="ka-GE" w:eastAsia="ka-GE"/>
        </w:rPr>
        <w:t xml:space="preserve"> (29.04.2015. N3484)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აფეთქებასაფრთხიანი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თხევადი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რეზერვუარში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ცილინდრში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</w:t>
      </w:r>
      <w:r>
        <w:rPr>
          <w:rFonts w:ascii="Sylfaen" w:eastAsia="Times New Roman" w:hAnsi="Sylfaen" w:cs="Sylfaen"/>
          <w:color w:val="000000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ჩაჭირხვნის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ამიაკზე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მომუშავე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სამაცივრო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ფუნიკულიორის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საბაგირო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გზის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ატრაქციონის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საქვაბე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წნევაზე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მომუშავე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ჭურჭლის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აირსავსები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აირგასამართი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სადგურების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ექსპლუატაციისას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>რღვევა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რამაც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გამოიწვია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I </w:t>
      </w:r>
      <w:r>
        <w:rPr>
          <w:rFonts w:ascii="Sylfaen" w:eastAsia="Times New Roman" w:hAnsi="Sylfaen" w:cs="Sylfaen"/>
          <w:color w:val="000000"/>
          <w:lang w:val="ka-GE" w:eastAsia="ka-GE"/>
        </w:rPr>
        <w:t>ხარისხის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აფეთქებასაფრთხიანი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თხევადი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რეზერვუარში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ცილინდრში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ჩაჭირხვნის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სამეწა</w:t>
      </w:r>
      <w:r>
        <w:rPr>
          <w:rFonts w:ascii="Sylfaen" w:eastAsia="Times New Roman" w:hAnsi="Sylfaen" w:cs="Sylfaen"/>
          <w:color w:val="000000"/>
          <w:lang w:val="ka-GE" w:eastAsia="ka-GE"/>
        </w:rPr>
        <w:t>რმეო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ამიაკზე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მომუშავე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სამაცივრო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ფუნიკულიორის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საბაგირო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გზის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ატრაქციონის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საქვაბე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წნევაზე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მომუშავე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ჭურჭლის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აირსავსები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აირგასამართი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სადგურების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ექსპლუატაციისას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დარღვევა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რამაც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გამოიწ</w:t>
      </w:r>
      <w:r>
        <w:rPr>
          <w:rFonts w:ascii="Sylfaen" w:eastAsia="Times New Roman" w:hAnsi="Sylfaen" w:cs="Sylfaen"/>
          <w:color w:val="000000"/>
          <w:lang w:val="ka-GE" w:eastAsia="ka-GE"/>
        </w:rPr>
        <w:t>ვია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II </w:t>
      </w:r>
      <w:r>
        <w:rPr>
          <w:rFonts w:ascii="Sylfaen" w:eastAsia="Times New Roman" w:hAnsi="Sylfaen" w:cs="Sylfaen"/>
          <w:color w:val="000000"/>
          <w:lang w:val="ka-GE" w:eastAsia="ka-GE"/>
        </w:rPr>
        <w:t>ხარისხის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400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აფეთქებასაფრთხიანი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თხევადი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რეზერვუარში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ცილინდრში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ჩაჭირხვნის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</w:t>
      </w:r>
      <w:r>
        <w:rPr>
          <w:rFonts w:ascii="Sylfaen" w:eastAsia="Times New Roman" w:hAnsi="Sylfaen" w:cs="Sylfaen"/>
          <w:color w:val="000000"/>
          <w:lang w:val="ka-GE" w:eastAsia="ka-GE"/>
        </w:rPr>
        <w:t>მოყენებადი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ამიაკზე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მომუშავე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სამაცივრო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ფუნიკულიორის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საბაგირო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გზის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ატრაქციონის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საქვაბე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წნევაზე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მომუშავე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ჭურჭლის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აირსავსები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აირგასამართი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სადგურების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ექსპლუატაციისას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დარღვევა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რამაც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გამოიწვია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I </w:t>
      </w:r>
      <w:r>
        <w:rPr>
          <w:rFonts w:ascii="Sylfaen" w:eastAsia="Times New Roman" w:hAnsi="Sylfaen" w:cs="Sylfaen"/>
          <w:color w:val="000000"/>
          <w:lang w:val="ka-GE" w:eastAsia="ka-GE"/>
        </w:rPr>
        <w:t>ხარისხის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კრიტი</w:t>
      </w:r>
      <w:r>
        <w:rPr>
          <w:rFonts w:ascii="Sylfaen" w:eastAsia="Times New Roman" w:hAnsi="Sylfaen" w:cs="Sylfaen"/>
          <w:color w:val="000000"/>
          <w:lang w:val="ka-GE" w:eastAsia="ka-GE"/>
        </w:rPr>
        <w:t>კული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750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აფეთქებასაფრთხიანი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თხევადი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რეზერვუარში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ცილინდრში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ჩაჭირხვნის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ამიაკზე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მომუშავე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სამაცივრო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ფუნიკულიორის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საბაგირო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გზის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ატრაქციონის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საქვაბე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წნევაზე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მომუშავე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ჭურჭლის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აირსავსები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აირგასამართი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სადგურების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ექსპლუატაციისას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დარღვევა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რამაც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გამოიწვია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II </w:t>
      </w:r>
      <w:r>
        <w:rPr>
          <w:rFonts w:ascii="Sylfaen" w:eastAsia="Times New Roman" w:hAnsi="Sylfaen" w:cs="Sylfaen"/>
          <w:color w:val="000000"/>
          <w:lang w:val="ka-GE" w:eastAsia="ka-GE"/>
        </w:rPr>
        <w:t>ხარისხის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კრიტიკული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1500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hyperlink r:id="rId6" w:history="1">
        <w:r>
          <w:rPr>
            <w:rFonts w:ascii="Sylfaen" w:eastAsia="Times New Roman" w:hAnsi="Sylfaen" w:cs="Sylfaen"/>
            <w:noProof/>
            <w:sz w:val="24"/>
            <w:szCs w:val="24"/>
            <w:lang w:val="ka-GE" w:eastAsia="ka-GE"/>
          </w:rPr>
          <w:t>მუხლი 29. ბუნებრივი გამოქვაბულის ან მღვიმის, სადაც ხდება ადამიანთა ორგანიზებული დაშვება, ამწე მოწყობილობის, ლიფტის, ეს</w:t>
        </w:r>
        <w:r>
          <w:rPr>
            <w:rFonts w:ascii="Sylfaen" w:eastAsia="Times New Roman" w:hAnsi="Sylfaen" w:cs="Sylfaen"/>
            <w:noProof/>
            <w:sz w:val="24"/>
            <w:szCs w:val="24"/>
            <w:lang w:val="ka-GE" w:eastAsia="ka-GE"/>
          </w:rPr>
          <w:t>კალატორის ექსპლუატაციისას უსაფრთხოების წესების დარღვევა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(26.12.2014. N3004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გამოქვაბულის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მღვიმის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ლიფტის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ესკალატორის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გამოქვაბულის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მღვიმის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ლიფტის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ესკალატორის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გამოქვაბულის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მღვიმის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ლიფტის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ესკალატორის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გამოქვაბულის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მღვიმის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ლიფტის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ესკალატორის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კარიერის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მაღაროს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შახტის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ნავთობბაზის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ნავთობსადენის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გაზსადენის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ჰიდროენერგეტიკული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ქნოლოგიური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ნაკეთობის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კომბინაციის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ფარულად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ნავთობბაზის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ნავთობსადენის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გაზსადენის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ნაკეთობის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კომბინაციის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31.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აფეთქებასაფრთხიანი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თხევადი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რეზერვუარში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ცილინდრში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ჩაჭირხვნის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ამიაკზე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მომუშავე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სამაცივრო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ფუნიკულიორის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>,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საბაგირო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გზის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ატრაქციონის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საქვაბე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წნევაზე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მომუშავე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ჭურჭლის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აირსავსები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აირგასამართი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სადგურების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ფარულად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(29.04.2015. N3484)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აფეთქებასაფრთხიანი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თხევადი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</w:t>
      </w:r>
      <w:r>
        <w:rPr>
          <w:rFonts w:ascii="Sylfaen" w:eastAsia="Times New Roman" w:hAnsi="Sylfaen" w:cs="Sylfaen"/>
          <w:color w:val="000000"/>
          <w:lang w:val="ka-GE" w:eastAsia="ka-GE"/>
        </w:rPr>
        <w:t>რმოების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რეზერვუარში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ცილინდრში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ჩაჭირხვნის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ამიაკზე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მომუშავე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სამაცივრო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ფუნიკულიორის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საბაგირო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გზის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ატრაქციონის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საქვაბე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წნევაზე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მომუშავე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ჭურჭლის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აირსავსები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აირგასამართი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სადგურების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ფარულად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1000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იგივე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ქმედება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2000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32. </w:t>
      </w:r>
      <w:hyperlink r:id="rId7" w:history="1">
        <w:r>
          <w:rPr>
            <w:rFonts w:ascii="Sylfaen" w:eastAsia="Times New Roman" w:hAnsi="Sylfaen" w:cs="Sylfaen"/>
            <w:noProof/>
            <w:sz w:val="24"/>
            <w:szCs w:val="24"/>
            <w:lang w:val="ka-GE" w:eastAsia="ka-GE"/>
          </w:rPr>
          <w:t>„ბუნებრივი</w:t>
        </w:r>
        <w:r>
          <w:rPr>
            <w:rFonts w:ascii="Sylfaen" w:eastAsia="Times New Roman" w:hAnsi="Sylfaen" w:cs="Sylfaen"/>
            <w:noProof/>
            <w:sz w:val="24"/>
            <w:szCs w:val="24"/>
            <w:lang w:val="ka-GE" w:eastAsia="ka-GE"/>
          </w:rPr>
          <w:t xml:space="preserve"> გამოქვაბულის ან მღვიმის, სადაც ხდება ადამიანთა ორგანიზებული დაშვება, ამწე მოწყობილობის, ლიფტის, ესკალატორის ფარულად ექსპლუატაცია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26.12.2014. N3004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გამოქვაბულის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მღვიმის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ლიფტის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ესკალატორის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(26.12.2014. N3004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კარიერის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მაღაროს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შახტის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ნავთობბაზის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ნავთობსადენის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გაზსადენის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ჰიდროენერგეტიკული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პერიოდული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ჩაუტარებლობა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ნავთობბაზის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ნავთობსადენის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გაზსადენის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ჩაუტარებლობა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ჩაუტარებლობისა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34.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აფეთქებასაფრთხიანი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თხევადი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რეზერვუარში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ცილინდრში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ჩაჭირხვნის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გამოყენებადი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ამიაკზე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ამაცივრო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ფუნიკულიორის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საბაგირო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გზის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ატრაქციონის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საქვაბე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წნევაზე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ჭურჭლის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აირსავსები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აირგასამართი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სადგურების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პერიოდული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ჩაუტარებლობა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(29.04.2015. N3484)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დაკავშ</w:t>
      </w:r>
      <w:r>
        <w:rPr>
          <w:rFonts w:ascii="Sylfaen" w:eastAsia="Times New Roman" w:hAnsi="Sylfaen" w:cs="Sylfaen"/>
          <w:color w:val="000000"/>
          <w:lang w:val="ka-GE" w:eastAsia="ka-GE"/>
        </w:rPr>
        <w:t>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აფეთქებასაფრთხიანი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თხევადი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რეზერვუარში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ცილინდრში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ჩაჭირხვნის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ამიაკზე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მომუშავე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სამაცივრო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ფუნიკულიორის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საბაგირო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გზის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ატრაქციონის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საქვაბე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წნ</w:t>
      </w:r>
      <w:r>
        <w:rPr>
          <w:rFonts w:ascii="Sylfaen" w:eastAsia="Times New Roman" w:hAnsi="Sylfaen" w:cs="Sylfaen"/>
          <w:color w:val="000000"/>
          <w:lang w:val="ka-GE" w:eastAsia="ka-GE"/>
        </w:rPr>
        <w:t>ევაზე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მომუშავე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ჭურჭლის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აირსავსები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აირგასამართი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სადგურების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მფლობელის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ობიექტის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პერიოდული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ჩაუტარებლობა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მიზეზით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ჩაუტარებლობისა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750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იგივე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ქმედება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</w:t>
      </w:r>
      <w:r>
        <w:rPr>
          <w:rFonts w:ascii="Sylfaen" w:eastAsia="Times New Roman" w:hAnsi="Sylfaen" w:cs="Sylfaen"/>
          <w:color w:val="000000"/>
          <w:lang w:val="ka-GE" w:eastAsia="ka-GE"/>
        </w:rPr>
        <w:t>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1500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35. </w:t>
      </w:r>
      <w:hyperlink r:id="rId8" w:history="1">
        <w:r>
          <w:rPr>
            <w:rFonts w:ascii="Sylfaen" w:eastAsia="Times New Roman" w:hAnsi="Sylfaen" w:cs="Sylfaen"/>
            <w:noProof/>
            <w:sz w:val="24"/>
            <w:szCs w:val="24"/>
            <w:lang w:val="ka-GE" w:eastAsia="ka-GE"/>
          </w:rPr>
          <w:t>ბუნებრივი გამოქვაბულის ან მღვიმის, სადაც ხდება ადამიანთა ორგანიზებული დაშვება, ამწე მოწყობი</w:t>
        </w:r>
        <w:r>
          <w:rPr>
            <w:rFonts w:ascii="Sylfaen" w:eastAsia="Times New Roman" w:hAnsi="Sylfaen" w:cs="Sylfaen"/>
            <w:noProof/>
            <w:sz w:val="24"/>
            <w:szCs w:val="24"/>
            <w:lang w:val="ka-GE" w:eastAsia="ka-GE"/>
          </w:rPr>
          <w:t>ლობის, ლიფტის, ესკალატორის პერიოდული ტექნიკური ინსპექტირების ჩაუტარებლობა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26.12.2014. N3004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გამოქვაბულის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მღვიმის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ლიფტის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ესკალატო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ჩაუტარებლობა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ჩაუტარებლობისა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(26.12.2014. N3004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კარიერზე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მაღაროში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შახტაში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ნავთობბაზაზე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მაგისტრალურ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ნავთობსადენზე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მაგისტრალურ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გაზსადენზე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ჰიდროენერგეტიკულ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ნაგებობაზე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მომხდარი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უბედური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ტექ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შეუტყობინებლობა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შახტაში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ნავთობბაზაზე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ნავთობსადენზე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გაზსადენზე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ჰიდროენერგეტიკულ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შეუტყობინებლობა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შეუტყობინებლობა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37. </w:t>
      </w:r>
      <w:r>
        <w:rPr>
          <w:rFonts w:ascii="Sylfaen" w:eastAsia="Times New Roman" w:hAnsi="Sylfaen" w:cs="Sylfaen"/>
          <w:color w:val="000000"/>
          <w:lang w:val="ka-GE" w:eastAsia="ka-GE"/>
        </w:rPr>
        <w:t>ობიექტის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მფლობელის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აფეთქებასაფრთხიანი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თხევა</w:t>
      </w:r>
      <w:r>
        <w:rPr>
          <w:rFonts w:ascii="Sylfaen" w:eastAsia="Times New Roman" w:hAnsi="Sylfaen" w:cs="Sylfaen"/>
          <w:color w:val="000000"/>
          <w:lang w:val="ka-GE" w:eastAsia="ka-GE"/>
        </w:rPr>
        <w:t>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რეზერვუარში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ცილინდრში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ჩაჭირხვნისას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ამიაკზე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მომუშავე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სამაცივრო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დანადგარზე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ფუნიკულიორზე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საბაგირო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გზაზე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ატრაქციონზე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საქვაბე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დანადგარზე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წნევაზე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მომუშავე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ჭურჭელზე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აირსავსებ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აირგა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სადგურებზე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მომხდარი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უბედური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შეუტყობინებლობა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(29.04.2015. N3484)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ობიექტის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მფლობელის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აფეთქებასაფრთხიანი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პროცესი</w:t>
      </w:r>
      <w:r>
        <w:rPr>
          <w:rFonts w:ascii="Sylfaen" w:eastAsia="Times New Roman" w:hAnsi="Sylfaen" w:cs="Sylfaen"/>
          <w:color w:val="000000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თხევადი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რეზერვუარში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ცილინდრში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ჩაჭირხვნისას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ამიაკზე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მომუშავე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სამაცივრო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დანადგარზე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ფუნიკულიორზე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საბაგირო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გზაზე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ატრაქციონზე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საქვაბე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დანადგარზე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წნევაზე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მომუშავე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ჭურჭელზე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აირსა</w:t>
      </w:r>
      <w:r>
        <w:rPr>
          <w:rFonts w:ascii="Sylfaen" w:eastAsia="Times New Roman" w:hAnsi="Sylfaen" w:cs="Sylfaen"/>
          <w:color w:val="000000"/>
          <w:lang w:val="ka-GE" w:eastAsia="ka-GE"/>
        </w:rPr>
        <w:t>ვსებ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აირგასამართ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სადგურებზე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მომხდარი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უბედური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(24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საათის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შეუტყობინებლობა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500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ობიექტის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მფლობელის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აფეთქებასაფრთხიანი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პროცესის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თხევადი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რეზერვუარში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ცილინდრში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ჟანგბადის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ჩაჭირხვნისას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ამიაკზე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მომუშავე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სამაცივრო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დანადგარზე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ფუნიკულიორზე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საბაგირო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გზაზე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ატრაქციონზე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საქვაბე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დანადგარზე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წნევაზე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მომუშავე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ჭურჭელზე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აირსავსებ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აირგასამართ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სადგურებზე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მომხდარი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უბედური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72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საათის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შეუტყობინებლობა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დაჯა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რიმებას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750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hyperlink r:id="rId9" w:history="1">
        <w:r>
          <w:rPr>
            <w:rFonts w:ascii="Sylfaen" w:eastAsia="Times New Roman" w:hAnsi="Sylfaen" w:cs="Sylfaen"/>
            <w:noProof/>
            <w:sz w:val="24"/>
            <w:szCs w:val="24"/>
            <w:lang w:val="ka-GE" w:eastAsia="ka-GE"/>
          </w:rPr>
          <w:t>მუხლი 38. ობიექტის მფლობელის მიერ ბუნებრივ გამოქვაბულში ან მღვიმეში, სადაც ხდება ადამიანთა ორგანიზებული დაშვება, ამწე მოწყობილობაზე, ლიფ</w:t>
        </w:r>
        <w:r>
          <w:rPr>
            <w:rFonts w:ascii="Sylfaen" w:eastAsia="Times New Roman" w:hAnsi="Sylfaen" w:cs="Sylfaen"/>
            <w:noProof/>
            <w:sz w:val="24"/>
            <w:szCs w:val="24"/>
            <w:lang w:val="ka-GE" w:eastAsia="ka-GE"/>
          </w:rPr>
          <w:t xml:space="preserve">ტზე, ესკალატორზე მომხდარი ავარიის/უბედური შემთხვევის შესახებ ტექნიკური და სამშენებლო ზედამხედველობის სააგენტოსთვის შეუტყობინებლობა 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(26.12.2014. N3004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გამოქვაბულში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მღვიმეში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ლიფტზე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ესკალატორზე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შეუტყობინებლობა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გამოქვაბულში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მღვიმეში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ლიფტზე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ესკალატორზე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შეუტყობინებლობა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ფეთქებადი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გამოსწორების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მიუკერძოებლობის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შეშლა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№5690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>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შეშლა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№5690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>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№5690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>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№5690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>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№5690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>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№5690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>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42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42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უნებართვო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სარეკრეაციო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22.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10" w:history="1">
        <w:r>
          <w:rPr>
            <w:rFonts w:ascii="Sylfaen" w:eastAsia="Times New Roman" w:hAnsi="Sylfaen" w:cs="Sylfaen"/>
            <w:noProof/>
            <w:sz w:val="24"/>
            <w:szCs w:val="24"/>
            <w:lang w:val="ka-GE" w:eastAsia="ka-GE"/>
          </w:rPr>
          <w:t>„წყლის შესახებ“ საქართველოს კანონით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სარეკრეაციო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გაბარიტების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– 25 000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;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ნაგებობისა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– 8 000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მეოთხე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კლასის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ნაგებობაზე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– 20 000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შეუცვლელად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: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№6937)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გაბარიტების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საძირკვლის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შემომზღუდავი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კონსტრუქციების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არამეტრები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მიშენება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სიმაღლის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გამოცალკევება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მოსპობის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შეუსრულებლობა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11" w:history="1">
        <w:r>
          <w:rPr>
            <w:rStyle w:val="Hyperlink"/>
            <w:rFonts w:ascii="Sylfaen" w:eastAsia="Times New Roman" w:hAnsi="Sylfaen" w:cs="Sylfaen"/>
            <w:noProof/>
            <w:color w:val="auto"/>
            <w:sz w:val="24"/>
            <w:szCs w:val="24"/>
            <w:u w:val="none"/>
            <w:lang w:val="ka-GE" w:eastAsia="ka-GE"/>
          </w:rPr>
          <w:t>„წყლის შესახებ“ საქართველოს კანონით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სარეკრეაციო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მეხუთე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№3220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№3220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552F19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45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მოწყობისა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გეგმარებითი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გაუთვალისწინებლობა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52F19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გაუთვალისწინებლობა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552F19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აფრთხილებს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არქიტექტურულ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გამოსასწორებლად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არქიტექტურულ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№3220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№3220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დაფის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განუთავსებლობა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დაფაზე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არასრული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განთავსება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განუთავსებლობა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12" w:history="1">
        <w:r>
          <w:rPr>
            <w:rStyle w:val="Hyperlink"/>
            <w:rFonts w:ascii="Sylfaen" w:eastAsia="Times New Roman" w:hAnsi="Sylfaen" w:cs="Sylfaen"/>
            <w:noProof/>
            <w:color w:val="auto"/>
            <w:sz w:val="24"/>
            <w:szCs w:val="24"/>
            <w:u w:val="none"/>
            <w:lang w:val="ka-GE" w:eastAsia="ka-GE"/>
          </w:rPr>
          <w:t>„წყლის შესახებ“ საქართველოს კანონით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სარეკრეაციო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–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13" w:history="1">
        <w:r>
          <w:rPr>
            <w:rStyle w:val="Hyperlink"/>
            <w:rFonts w:ascii="Sylfaen" w:eastAsia="Times New Roman" w:hAnsi="Sylfaen" w:cs="Sylfaen"/>
            <w:noProof/>
            <w:color w:val="auto"/>
            <w:sz w:val="24"/>
            <w:szCs w:val="24"/>
            <w:u w:val="none"/>
            <w:lang w:val="ka-GE" w:eastAsia="ka-GE"/>
          </w:rPr>
          <w:t>„წყლის შესახებ“ საქართველოს კანონით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სარეკრეაციო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მიტოვება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მიტოვება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14" w:history="1">
        <w:r>
          <w:rPr>
            <w:rStyle w:val="Hyperlink"/>
            <w:rFonts w:ascii="Sylfaen" w:eastAsia="Times New Roman" w:hAnsi="Sylfaen" w:cs="Sylfaen"/>
            <w:noProof/>
            <w:color w:val="auto"/>
            <w:sz w:val="24"/>
            <w:szCs w:val="24"/>
            <w:u w:val="none"/>
            <w:lang w:val="ka-GE" w:eastAsia="ka-GE"/>
          </w:rPr>
          <w:t>„წყლის შესახებ“ საქართველოს კანონით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სარეკრეაციო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–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სარეკრეაციო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ავარიული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განუხორციელებლობა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განუხორციელებლობა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15" w:history="1">
        <w:r>
          <w:rPr>
            <w:rStyle w:val="Hyperlink"/>
            <w:rFonts w:ascii="Sylfaen" w:eastAsia="Times New Roman" w:hAnsi="Sylfaen" w:cs="Sylfaen"/>
            <w:noProof/>
            <w:color w:val="auto"/>
            <w:sz w:val="24"/>
            <w:szCs w:val="24"/>
            <w:u w:val="none"/>
            <w:lang w:val="ka-GE" w:eastAsia="ka-GE"/>
          </w:rPr>
          <w:t>„წყლის შესახებ“ საქართველოს კანონით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ეკრეაციო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–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–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–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spacing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რემონტის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განუხორციელებლობა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იერსახეს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ამახინჯებს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№5778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რემონტის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განუხორციელებლობა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იერსახეს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ამახინჯებს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სარეკრეაციო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იერსახეს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ამახინჯებს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მოპირკეთება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შემინვა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შემოღობვა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შემომზღუდავი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კონსტრუქცია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გამოსასწორებლად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რემონტი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საკარმიდამო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ზიანისა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ანაზღაურება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აჯარიმება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(27.10.2015. N4366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(21.12.2016. N160)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კონსერვაციის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დაუცველობით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მიუღწევლობის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გამოუსწორებლობის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გამოუსწორებლობამ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აჩერებს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რეალიზაცია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№6937)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ყადაღა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უქმდებ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დაფარვისთანავე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№6937)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ყადაღადადებული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№6937)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ავრცელებს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№6937)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გასაყიდი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გასაყიდად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დაიფარება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№6937)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ამენტი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დებულებები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რეგლამენტი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არაადეკვატურ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ბარიერებს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აიკრძალოს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შეეშალოს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დააპროექტოს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ნთავსებისას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მათგანთან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კომბინაცია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არაადეკვატურ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ბარიერებს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მკაცრ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არსი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პარამეტრები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პრეზუმფცია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(06.09.2013. N1041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პარამეტრებს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აიკრძალოს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ეკვივალენტად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გლამენტი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ადეკვატურად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რეესტრი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განთავსება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ესაჭიროება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ინგლისურ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ნიშანდების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ეკვივალენტად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იურისდიქციების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სტანდარტიზაცია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დებულებები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ისახავდეს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თავსებადობის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shd w:val="clear" w:color="auto" w:fill="FFFF0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კონსენსუსის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ოპტიმიზაციის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 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სტანდარტიზაციის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პრინციპები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პარიტეტულ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№6937)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კონსენსუსის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თანამედროვე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პრინციპე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4.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დასაკმაყოფილებლად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თავფურცლის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გამიზნულია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დასაკმაყოფილებლად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უთანხმებს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კონსენსუსით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განმსაზღვრელი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ნებაყოფლობითობა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ხელმისაწვდომობა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დასაკმაყოფილებლად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ექნიკური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კომიტეტი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პარიტეტულ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კონსენსუსის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სააგენტო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ფუნქციები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დაკანონე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დაკანონებული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ეტალონების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სიდიდეების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მიკვლევ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დაკალიბრების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მძღვანელი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აქტები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ყოველდღიურ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ანგარიში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მეტროლოგიის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ინსტიტუტი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დაფინანსება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კონტროლი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გაზომვათა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ერთიანობის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უზრუნველყოფა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დებულებები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№4916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სიდიდის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სიდიდეები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შეედარება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სიდიდის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გამოსახატავად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დაკანონებული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მეტროლოგიურ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კონსტრუქციის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სრულფასოვანი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ეტალონი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სიდიდის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აღწარმოე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დაკალიბრება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ეტალონებით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სიდიდეთა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განუსაზღვრელობებით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განუსაზღვრელობებით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დაკალიბრება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დაკალიბრების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შემკვეთს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დაკალიბრებული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ხელსაწყოთი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დასაკისრებლად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მიკვლევადობა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ეტალონთან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დაკალიბრების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ჯაჭვის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დაკანონებული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დაკანონებული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გაშვებამდე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გაშვებამდე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დაკანონებული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საშუალებები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</w:pP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დაკანონებული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საშუალებებია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შედეგებიც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დაჯარიმებისთვის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№4916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დაკანონებული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ალკომეტრებისათვის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სუნთქვის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ხარჯმზომებისათვის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სასწორებისათვის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სასწორებისა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საწონებისათვის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სითხეებისთვის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–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ავტოგასამართ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სადგურებში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მარიგებელი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სვეტების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მადოზირებელი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მრიცხველი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მრიცხველებისათვის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Q</w:t>
      </w:r>
      <w:r>
        <w:rPr>
          <w:rFonts w:ascii="Sylfaen" w:hAnsi="Sylfaen" w:cs="Sylfaen"/>
          <w:position w:val="-6"/>
          <w:sz w:val="24"/>
          <w:szCs w:val="24"/>
          <w:lang w:val="ka-GE" w:eastAsia="ka-GE"/>
        </w:rPr>
        <w:t>MAX</w:t>
      </w:r>
      <w:r>
        <w:rPr>
          <w:rFonts w:ascii="Sylfaen" w:hAnsi="Sylfaen" w:cs="Sylfaen"/>
          <w:sz w:val="24"/>
          <w:szCs w:val="24"/>
          <w:lang w:val="ka-GE" w:eastAsia="ka-GE"/>
        </w:rPr>
        <w:t>≤</w:t>
      </w:r>
      <w:r>
        <w:rPr>
          <w:rFonts w:ascii="Sylfaen" w:hAnsi="Sylfaen" w:cs="Sylfaen"/>
          <w:sz w:val="24"/>
          <w:szCs w:val="24"/>
          <w:lang w:val="ka-GE" w:eastAsia="ka-GE"/>
        </w:rPr>
        <w:t>10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Q</w:t>
      </w:r>
      <w:r>
        <w:rPr>
          <w:rFonts w:ascii="Sylfaen" w:hAnsi="Sylfaen" w:cs="Sylfaen"/>
          <w:position w:val="-6"/>
          <w:sz w:val="24"/>
          <w:szCs w:val="24"/>
          <w:lang w:val="ka-GE" w:eastAsia="ka-GE"/>
        </w:rPr>
        <w:t>MAX</w:t>
      </w:r>
      <w:r>
        <w:rPr>
          <w:rFonts w:ascii="Sylfaen" w:hAnsi="Sylfaen" w:cs="Sylfaen"/>
          <w:sz w:val="24"/>
          <w:szCs w:val="24"/>
          <w:lang w:val="ka-GE" w:eastAsia="ka-GE"/>
        </w:rPr>
        <w:t>&gt;10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–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ჭურჭელში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ცისტერნა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მზომებისათვის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ხმაურმზომებისათვის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სიჩქარის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მზომებისათვის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მრიცხველებისათვის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შუქგამტარობის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განმსაზღვრელი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ხელსაწყოებისათვის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დაკანონებული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დამოწმებისა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პერიოდული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საგადას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ახადო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კოდექსისა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დაკანონებული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არაპერიოდული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მომხმარებელმა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არაპერიოდული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ხა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რჯების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№4916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დაფასოებული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დაკანონებული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დაკანონებულ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ცდომილებათა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აკანონებული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შეფერხებას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მოუთხოვია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საბითუმო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სასწორებსა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საწონებზე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ეტალონი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ეტალონი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სიზუსტით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ეტალონი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ეტალონების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ვსებადობა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ეტალონის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ეტალონის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დამოწმება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დაკანონებული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დაკანონებული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დამამოწმებელი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დაკანონებული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დამოწმებათაშორისი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დამოწმებათაშორისი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ნიშანი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დაკანონებულ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მკაფიოდ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განსხვავდებოდეს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დაკანონებული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გამოსაჩენ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მკაფიო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იშლებოდეს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დატანასთან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ნონებული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დამოწმება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დაკანონებული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დაკანონებული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დაკანონებულ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დაკანონებულ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დატანასთან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დაკანონებული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დაკანონებული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განიცადა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მეტროლოგიურ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მეტროლ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დაკანონებული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გაზომვა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რეესტრი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ეტალონები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დაკანონებული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VIII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შეფასება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სფერო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ცალმხრივი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ორმხრივი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ატესტაცია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რეგულირებულ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მოდულები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ქვემოდულები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ქვემოდულებად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B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პროტოტიპის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C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D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E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F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G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H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ქვემოდულები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კომბინაცია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თანამიმდევრობას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შემფასებელი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ორგანო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დოკუმენტები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დამადასტ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ურებელი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ინგლისურ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MRA-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)/MLA-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ILAC-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ლაბორატორიების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IAF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ფორუმი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EA-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ხელმომწერ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შეამცირებს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აღქმადობას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ნიშანდება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იკითხებოდეს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იშლებოდეს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თანმხლებ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GE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ევროკავშირში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CE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IX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აკრედიტაცია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ლაბორატორიების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დაკანონებული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დამამოწმებელი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(23.12.2017. N1915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საფუძველი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ვადა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ცენტრი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ამყარებს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საბჭ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პარიტეტულ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რეესტრი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აახლებს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ლოგო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შემფასებელი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დებულებანი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დებულებები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უწყებებმა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ინსტრუქციების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რევიზიის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114)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</w:t>
      </w:r>
      <w:r>
        <w:rPr>
          <w:rFonts w:ascii="Sylfaen" w:hAnsi="Sylfaen" w:cs="Sylfaen"/>
          <w:sz w:val="20"/>
          <w:szCs w:val="20"/>
          <w:lang w:val="ka-GE" w:eastAsia="ka-GE"/>
        </w:rPr>
        <w:t>4)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</w:t>
      </w:r>
      <w:r>
        <w:rPr>
          <w:rFonts w:ascii="Sylfaen" w:eastAsia="Times New Roman" w:hAnsi="Sylfaen" w:cs="Sylfaen"/>
          <w:lang w:val="ka-GE" w:eastAsia="ka-GE"/>
        </w:rPr>
        <w:t>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114)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eastAsia="Times New Roman" w:hAnsi="Sylfaen" w:cs="Sylfaen"/>
          <w:lang w:val="ka-GE" w:eastAsia="ka-GE"/>
        </w:rPr>
        <w:t>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(29.06.2012 N 6606)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1998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2003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უწყებებმა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104-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(19.12.2012 N 114)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შემფასებელი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(19.12.2012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N 114)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(19.12.2012 N 114)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(19.12.2012 N 114)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მოდულები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ქვემოდულები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(19.12.2012 N 114)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იურისდიქციების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24.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(19.12.2012 N 114)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იექტებზე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არაფუნქციონირებად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მიტოვებულ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დანგრეულ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სამართალმემკვიდრე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№3689)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103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განხორციელ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მშენებლობების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(28.06.2013. N798)</w:t>
      </w:r>
    </w:p>
    <w:p w:rsidR="00000000" w:rsidRDefault="00552F19">
      <w:pPr>
        <w:pStyle w:val="Normal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ინტენსივობის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-2) </w:t>
      </w:r>
      <w:r>
        <w:rPr>
          <w:rFonts w:ascii="Sylfaen" w:eastAsia="Times New Roman" w:hAnsi="Sylfaen" w:cs="Sylfaen"/>
          <w:lang w:val="ka-GE" w:eastAsia="ka-GE"/>
        </w:rPr>
        <w:t>მომატებისათვის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ნტენსივობის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-2) </w:t>
      </w:r>
      <w:r>
        <w:rPr>
          <w:rFonts w:ascii="Sylfaen" w:eastAsia="Times New Roman" w:hAnsi="Sylfaen" w:cs="Sylfaen"/>
          <w:lang w:val="ka-GE" w:eastAsia="ka-GE"/>
        </w:rPr>
        <w:t>მომატებისათვის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თუმცა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გამოსწორებულია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გამოსწორდება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52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ქალაქგეგმარებით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ქალაქგეგმარებით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ქალაქგეგმარებით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ქალაქგეგმარებით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მშენებლობადამთავრებული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თუმცა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მშენებლობადამთავრებული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მშენებლობადამთავრებული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№57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დამკვეთს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არქიტექტურ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მოსაპირკეთებელი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მოსაპირკეთებელი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გამოსასწორებლად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განესაზღვრებათ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ნგარიშება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სართულის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სართულების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ქალაქგეგმარებით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№57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9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მეხუთე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103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1117)</w:t>
      </w:r>
    </w:p>
    <w:p w:rsidR="00000000" w:rsidRDefault="00552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უნებართვოდ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მშენებლობადამთავრებული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მრავალბინიანი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მზიდი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კონსტრუქციების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ექსტერიერის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სახურავზე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სიმაღლისა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შეუცვლელად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სამერცხლის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ქანობზე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გამოჭრა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მშენებლ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მზიდ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კონსტრუქციებ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დასადასტურე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</w:t>
      </w:r>
    </w:p>
    <w:p w:rsidR="00000000" w:rsidRDefault="0055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დამრღვევი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მზიდი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კონსტრუქციების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დასტურებ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 xml:space="preserve">2009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№57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მშენებლობ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კონსტრუქციების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ექსტერიერ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  </w:t>
      </w:r>
    </w:p>
    <w:p w:rsidR="00000000" w:rsidRDefault="00552F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მეხუთე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№5099)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552F19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103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მშე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მშენებლობადამთავრებული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კომპლექსის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მშენებლობადამთავრებული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არმოებულია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პარამეტრების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თუმცა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თუმცა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მშენებლობადამთავრებულ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კონსტრუქციული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ექსტერიერის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პირკეთებელი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ტოპოგრაფიული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ნაჩვენებია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საექსპლუატაციო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ფოტოსურათები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კონსტრუქციების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სეისმომედეგობის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მოსაპირკეთებელი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ავტოსადგომების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არქიტექ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ავტოსადგომების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ყობილობების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ლიფტის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ესკალატორის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მოსაპირკეთებელი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მისადაგების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უზღუდავს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მიჯნის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ინტენსივობის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ინტენსივობის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ინტენსივობის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52F1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პირვანდელი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თანაზიარი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დებულებები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უწყებანი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№007, 30.04.96,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7);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№30(37), 1999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162);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უწყებანი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№22-23,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1996,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25);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უწყებანი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№22-23,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1996,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36);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№20, 19.04.2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010,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112).</w:t>
      </w:r>
    </w:p>
    <w:p w:rsidR="00000000" w:rsidRDefault="00552F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ინსტრუქციები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(19.12.2012 N 114)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    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სააკაშვილი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№6157-I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</w:p>
    <w:p w:rsidR="00000000" w:rsidRDefault="00552F1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21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57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193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229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265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301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337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373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</w:abstractNum>
  <w:num w:numId="1" w16cid:durableId="137457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52F19"/>
    <w:rsid w:val="0055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spacing w:after="0" w:line="240" w:lineRule="auto"/>
      <w:ind w:firstLine="283"/>
      <w:jc w:val="both"/>
    </w:pPr>
    <w:rPr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tarigixml">
    <w:name w:val="tarigi_xml"/>
    <w:basedOn w:val="abzacixml"/>
    <w:uiPriority w:val="99"/>
    <w:pPr>
      <w:spacing w:before="240" w:after="24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  <w:sz w:val="24"/>
      <w:szCs w:val="24"/>
    </w:rPr>
  </w:style>
  <w:style w:type="paragraph" w:customStyle="1" w:styleId="ckhrilixml">
    <w:name w:val="ckhrili_xml"/>
    <w:basedOn w:val="abzacixml"/>
    <w:uiPriority w:val="99"/>
    <w:pPr>
      <w:spacing w:before="20" w:after="20"/>
      <w:ind w:firstLine="0"/>
      <w:jc w:val="left"/>
    </w:pPr>
    <w:rPr>
      <w:sz w:val="18"/>
      <w:szCs w:val="18"/>
    </w:rPr>
  </w:style>
  <w:style w:type="paragraph" w:customStyle="1" w:styleId="sulcvlilebaxml">
    <w:name w:val="sul_cvlileba_xml"/>
    <w:basedOn w:val="Normal"/>
    <w:uiPriority w:val="99"/>
    <w:pPr>
      <w:spacing w:after="0" w:line="240" w:lineRule="auto"/>
      <w:ind w:firstLine="283"/>
    </w:pPr>
    <w:rPr>
      <w:b/>
      <w:bCs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after="0" w:line="240" w:lineRule="exact"/>
      <w:ind w:left="850" w:hanging="850"/>
      <w:jc w:val="center"/>
    </w:pPr>
    <w:rPr>
      <w:b/>
      <w:bCs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1"/>
      </w:numPr>
      <w:spacing w:before="240" w:after="0" w:line="240" w:lineRule="auto"/>
      <w:jc w:val="center"/>
    </w:pPr>
    <w:rPr>
      <w:b/>
      <w:bCs/>
    </w:rPr>
  </w:style>
  <w:style w:type="paragraph" w:customStyle="1" w:styleId="satauri2">
    <w:name w:val="satauri2"/>
    <w:basedOn w:val="Normal"/>
    <w:uiPriority w:val="99"/>
    <w:pPr>
      <w:spacing w:after="0" w:line="240" w:lineRule="auto"/>
      <w:jc w:val="center"/>
    </w:pPr>
    <w:rPr>
      <w:b/>
      <w:bCs/>
    </w:rPr>
  </w:style>
  <w:style w:type="paragraph" w:customStyle="1" w:styleId="mimgebixml">
    <w:name w:val="mimgebi_xml"/>
    <w:basedOn w:val="Normal"/>
    <w:uiPriority w:val="99"/>
    <w:pPr>
      <w:spacing w:after="0" w:line="240" w:lineRule="auto"/>
      <w:jc w:val="center"/>
    </w:pPr>
    <w:rPr>
      <w:b/>
      <w:bCs/>
      <w:sz w:val="28"/>
      <w:szCs w:val="28"/>
    </w:rPr>
  </w:style>
  <w:style w:type="paragraph" w:customStyle="1" w:styleId="tavixml">
    <w:name w:val="tavi_xml"/>
    <w:basedOn w:val="Normal"/>
    <w:uiPriority w:val="99"/>
    <w:pPr>
      <w:spacing w:before="240" w:after="0" w:line="240" w:lineRule="auto"/>
      <w:jc w:val="center"/>
    </w:pPr>
    <w:rPr>
      <w:b/>
      <w:bCs/>
    </w:rPr>
  </w:style>
  <w:style w:type="paragraph" w:customStyle="1" w:styleId="tavisataurixml">
    <w:name w:val="tavi_satauri_xml"/>
    <w:basedOn w:val="Normal"/>
    <w:uiPriority w:val="99"/>
    <w:pPr>
      <w:spacing w:after="240" w:line="240" w:lineRule="auto"/>
      <w:jc w:val="center"/>
    </w:pPr>
    <w:rPr>
      <w:b/>
      <w:bCs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after="0" w:line="240" w:lineRule="exact"/>
      <w:ind w:left="850" w:hanging="850"/>
    </w:pPr>
    <w:rPr>
      <w:b/>
      <w:bCs/>
    </w:rPr>
  </w:style>
  <w:style w:type="paragraph" w:customStyle="1" w:styleId="muxlixml0">
    <w:name w:val="muxlixml"/>
    <w:basedOn w:val="Normal"/>
    <w:uiPriority w:val="99"/>
    <w:pPr>
      <w:spacing w:before="100" w:after="100" w:line="240" w:lineRule="auto"/>
    </w:pPr>
    <w:rPr>
      <w:sz w:val="24"/>
      <w:szCs w:val="24"/>
    </w:rPr>
  </w:style>
  <w:style w:type="paragraph" w:customStyle="1" w:styleId="abzacixml0">
    <w:name w:val="abzacixml"/>
    <w:basedOn w:val="Normal"/>
    <w:uiPriority w:val="99"/>
    <w:pPr>
      <w:spacing w:before="100" w:after="10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ighlight">
    <w:name w:val="highlight"/>
    <w:basedOn w:val="DefaultParagraphFont"/>
    <w:uiPriority w:val="99"/>
  </w:style>
  <w:style w:type="character" w:styleId="PageNumber">
    <w:name w:val="page numbe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Revision">
    <w:name w:val="Revision"/>
    <w:basedOn w:val="Normal0"/>
    <w:uiPriority w:val="99"/>
    <w:pPr>
      <w:widowControl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</w:style>
  <w:style w:type="paragraph" w:styleId="NoSpacing">
    <w:name w:val="No Spacing"/>
    <w:basedOn w:val="Normal0"/>
    <w:uiPriority w:val="99"/>
    <w:qFormat/>
    <w:pPr>
      <w:widowControl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sne.gov.ge/index.php?option=com_ldmssearch&amp;view=docView&amp;id=1659419&amp;lang=ge" TargetMode="External"/><Relationship Id="rId13" Type="http://schemas.openxmlformats.org/officeDocument/2006/relationships/hyperlink" Target="https://matsne.gov.ge/ka/document/view/334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sne.gov.ge/index.php?option=com_ldmssearch&amp;view=docView&amp;id=1659419&amp;lang=ge" TargetMode="External"/><Relationship Id="rId12" Type="http://schemas.openxmlformats.org/officeDocument/2006/relationships/hyperlink" Target="https://matsne.gov.ge/ka/document/view/3344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tsne.gov.ge/index.php?option=com_ldmssearch&amp;view=docView&amp;id=1659419&amp;lang=ge" TargetMode="External"/><Relationship Id="rId11" Type="http://schemas.openxmlformats.org/officeDocument/2006/relationships/hyperlink" Target="https://matsne.gov.ge/ka/document/view/33448" TargetMode="External"/><Relationship Id="rId5" Type="http://schemas.openxmlformats.org/officeDocument/2006/relationships/hyperlink" Target="https://matsne.gov.ge/ka/document/view/33448" TargetMode="External"/><Relationship Id="rId15" Type="http://schemas.openxmlformats.org/officeDocument/2006/relationships/hyperlink" Target="https://matsne.gov.ge/ka/document/view/33448" TargetMode="External"/><Relationship Id="rId10" Type="http://schemas.openxmlformats.org/officeDocument/2006/relationships/hyperlink" Target="https://matsne.gov.ge/ka/document/view/33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sne.gov.ge/index.php?option=com_ldmssearch&amp;view=docView&amp;id=1659419&amp;lang=ge" TargetMode="External"/><Relationship Id="rId14" Type="http://schemas.openxmlformats.org/officeDocument/2006/relationships/hyperlink" Target="https://matsne.gov.ge/ka/document/view/33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29638</Words>
  <Characters>168939</Characters>
  <Application>Microsoft Office Word</Application>
  <DocSecurity>0</DocSecurity>
  <Lines>1407</Lines>
  <Paragraphs>396</Paragraphs>
  <ScaleCrop>false</ScaleCrop>
  <Company/>
  <LinksUpToDate>false</LinksUpToDate>
  <CharactersWithSpaces>198181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