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კონკურენციის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21.03.2014. N2159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val="en-US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lang w:val="en-US"/>
        </w:rPr>
        <w:t>ეს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კანონი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ადგენს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თავისუფალი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სამართლიანი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კონკურენციის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არამართლზომიერი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შეზღუდვისა</w:t>
      </w:r>
      <w:r>
        <w:rPr>
          <w:rFonts w:ascii="Sylfaen" w:eastAsia="Times New Roman" w:hAnsi="Sylfaen" w:cs="Sylfaen"/>
          <w:color w:val="000000"/>
          <w:lang w:val="en-US"/>
        </w:rPr>
        <w:t>გან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დაცვის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პრინციპებს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რაც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თავისუფალი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ვაჭრობისა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კონკურენტუნარიანი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ბაზრის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საფუძველია</w:t>
      </w:r>
      <w:r>
        <w:rPr>
          <w:rFonts w:ascii="Sylfaen" w:eastAsia="Times New Roman" w:hAnsi="Sylfaen" w:cs="Sylfaen"/>
          <w:color w:val="000000"/>
          <w:lang w:val="en-US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შემზღუდველი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</w:t>
      </w:r>
      <w:r>
        <w:rPr>
          <w:rFonts w:ascii="Sylfaen" w:eastAsia="Times New Roman" w:hAnsi="Sylfaen" w:cs="Sylfaen"/>
          <w:lang w:val="en-US"/>
        </w:rPr>
        <w:t>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: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№5662)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ლიბერალიზაციის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ვაჭრობისა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</w:t>
      </w:r>
      <w:r>
        <w:rPr>
          <w:rFonts w:ascii="Sylfaen" w:eastAsia="Times New Roman" w:hAnsi="Sylfaen" w:cs="Sylfaen"/>
          <w:lang w:val="ka-GE" w:eastAsia="ka-GE"/>
        </w:rPr>
        <w:t>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>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</w:t>
      </w:r>
      <w:r>
        <w:rPr>
          <w:rFonts w:ascii="Sylfaen" w:eastAsia="Times New Roman" w:hAnsi="Sylfaen" w:cs="Sylfaen"/>
          <w:lang w:val="ka-GE" w:eastAsia="ka-GE"/>
        </w:rPr>
        <w:t>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განმარტება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</w:t>
      </w:r>
      <w:r>
        <w:rPr>
          <w:rFonts w:ascii="Sylfaen" w:eastAsia="Times New Roman" w:hAnsi="Sylfaen" w:cs="Sylfaen"/>
          <w:lang w:val="ka-GE" w:eastAsia="ka-GE"/>
        </w:rPr>
        <w:t>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მეტოქეობა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არაკონკურენტი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ურთიერთჩანაცვლებადი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ურთიერთჩანაცვლებადი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;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№712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იმოქმედონ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</w:t>
      </w:r>
      <w:r>
        <w:rPr>
          <w:rFonts w:ascii="Sylfaen" w:eastAsia="Times New Roman" w:hAnsi="Sylfaen" w:cs="Sylfaen"/>
          <w:lang w:val="ka-GE" w:eastAsia="ka-GE"/>
        </w:rPr>
        <w:t>ტებისგან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მიმწოდებლებისგან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მოახდინონ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შეზღუდონ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მქონეებად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განიცდიან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ოცენტია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80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ურთიერთდ</w:t>
      </w:r>
      <w:r>
        <w:rPr>
          <w:rFonts w:ascii="Sylfaen" w:eastAsia="Times New Roman" w:hAnsi="Sylfaen" w:cs="Sylfaen"/>
          <w:lang w:val="ka-GE" w:eastAsia="ka-GE"/>
        </w:rPr>
        <w:t>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ითვლებიან</w:t>
      </w:r>
      <w:r>
        <w:rPr>
          <w:rFonts w:ascii="Sylfaen" w:eastAsia="Times New Roman" w:hAnsi="Sylfaen" w:cs="Sylfaen"/>
          <w:lang w:val="ka-GE" w:eastAsia="ka-GE"/>
        </w:rPr>
        <w:t>:(21.03.2014.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</w:t>
      </w:r>
      <w:r>
        <w:rPr>
          <w:rFonts w:ascii="Sylfaen" w:eastAsia="Times New Roman" w:hAnsi="Sylfaen" w:cs="Sylfaen"/>
          <w:lang w:val="ka-GE" w:eastAsia="ka-GE"/>
        </w:rPr>
        <w:t>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</w:t>
      </w:r>
      <w:r>
        <w:rPr>
          <w:rFonts w:ascii="Sylfaen" w:eastAsia="Times New Roman" w:hAnsi="Sylfaen" w:cs="Sylfaen"/>
          <w:lang w:val="ka-GE" w:eastAsia="ka-GE"/>
        </w:rPr>
        <w:t>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</w:t>
      </w:r>
      <w:r>
        <w:rPr>
          <w:rFonts w:ascii="Sylfaen" w:eastAsia="Times New Roman" w:hAnsi="Sylfaen" w:cs="Sylfaen"/>
          <w:lang w:val="ka-GE" w:eastAsia="ka-GE"/>
        </w:rPr>
        <w:t>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>:(21.03.2014.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;(21.03.2014.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</w:t>
      </w:r>
      <w:r>
        <w:rPr>
          <w:rFonts w:ascii="Sylfaen" w:eastAsia="Times New Roman" w:hAnsi="Sylfaen" w:cs="Sylfaen"/>
          <w:lang w:val="ka-GE" w:eastAsia="ka-GE"/>
        </w:rPr>
        <w:t>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ვერტიკალური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ფასწარმოქმნა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კონცენტრაცია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ვერტიკალური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ფიქსირება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ტნიორებისთვის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</w:t>
      </w:r>
      <w:r>
        <w:rPr>
          <w:rFonts w:ascii="Sylfaen" w:eastAsia="Times New Roman" w:hAnsi="Sylfaen" w:cs="Sylfaen"/>
          <w:lang w:val="ka-GE" w:eastAsia="ka-GE"/>
        </w:rPr>
        <w:t>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კერძ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ფიქსირება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</w:t>
      </w:r>
      <w:r>
        <w:rPr>
          <w:rFonts w:ascii="Sylfaen" w:eastAsia="Times New Roman" w:hAnsi="Sylfaen" w:cs="Sylfaen"/>
          <w:lang w:val="ka-GE" w:eastAsia="ka-GE"/>
        </w:rPr>
        <w:t>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ვერტიკალური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ვერტიკალური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ჰორიზონტალურ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ვერტიკალურ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>(16.09.2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</w:t>
      </w:r>
      <w:r>
        <w:rPr>
          <w:rFonts w:ascii="Sylfaen" w:eastAsia="Times New Roman" w:hAnsi="Sylfaen" w:cs="Sylfaen"/>
          <w:lang w:val="ka-GE" w:eastAsia="ka-GE"/>
        </w:rPr>
        <w:t>ეთონ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შესუსტებას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მონოპოლიზაციისთვის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ფასწარმოქმნასა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მარეგუ</w:t>
      </w:r>
      <w:r>
        <w:rPr>
          <w:rFonts w:ascii="Sylfaen" w:eastAsia="Times New Roman" w:hAnsi="Sylfaen" w:cs="Sylfaen"/>
          <w:lang w:val="ka-GE" w:eastAsia="ka-GE"/>
        </w:rPr>
        <w:t>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კონცენტრ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წარმოიქმნება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თავსებადია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აძლიერებს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ივარაუდება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</w:t>
      </w:r>
      <w:r>
        <w:rPr>
          <w:rFonts w:ascii="Sylfaen" w:eastAsia="Times New Roman" w:hAnsi="Sylfaen" w:cs="Sylfaen"/>
          <w:lang w:val="ka-GE" w:eastAsia="ka-GE"/>
        </w:rPr>
        <w:t>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შესთავაზონ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მოდიფ</w:t>
      </w:r>
      <w:r>
        <w:rPr>
          <w:rFonts w:ascii="Sylfaen" w:eastAsia="Times New Roman" w:hAnsi="Sylfaen" w:cs="Sylfaen"/>
          <w:lang w:val="ka-GE" w:eastAsia="ka-GE"/>
        </w:rPr>
        <w:t>იკაციის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</w:t>
      </w:r>
      <w:r>
        <w:rPr>
          <w:rFonts w:ascii="Sylfaen" w:eastAsia="Times New Roman" w:hAnsi="Sylfaen" w:cs="Sylfaen"/>
          <w:lang w:val="ka-GE" w:eastAsia="ka-GE"/>
        </w:rPr>
        <w:t>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რეაბილიტ</w:t>
      </w:r>
      <w:r>
        <w:rPr>
          <w:rFonts w:ascii="Sylfaen" w:eastAsia="Times New Roman" w:hAnsi="Sylfaen" w:cs="Sylfaen"/>
          <w:lang w:val="ka-GE" w:eastAsia="ka-GE"/>
        </w:rPr>
        <w:t>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ვალაუვალი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ვალაუვალი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მიეკუთვნებიან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№7167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center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169E0">
      <w:pPr>
        <w:ind w:firstLine="709"/>
        <w:jc w:val="both"/>
        <w:rPr>
          <w:rFonts w:ascii="Sylfaen" w:hAnsi="Sylfaen" w:cs="Sylfaen"/>
          <w:color w:val="C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მაგალითად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არასარწმუნო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უბიძგებს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შესაყვანად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დისკრედიტაცია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გარეგნული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მითვისება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შემსყიდველის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</w:t>
      </w:r>
      <w:r>
        <w:rPr>
          <w:rFonts w:ascii="Sylfaen" w:eastAsia="Times New Roman" w:hAnsi="Sylfaen" w:cs="Sylfaen"/>
          <w:lang w:val="ka-GE" w:eastAsia="ka-GE"/>
        </w:rPr>
        <w:t>რესები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ბოიკოტისკენ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დახმარება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</w:t>
      </w:r>
      <w:r>
        <w:rPr>
          <w:rFonts w:ascii="Sylfaen" w:eastAsia="Times New Roman" w:hAnsi="Sylfaen" w:cs="Sylfaen"/>
          <w:lang w:val="ka-GE" w:eastAsia="ka-GE"/>
        </w:rPr>
        <w:t>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</w:t>
      </w:r>
      <w:r>
        <w:rPr>
          <w:rFonts w:ascii="Sylfaen" w:eastAsia="Times New Roman" w:hAnsi="Sylfaen" w:cs="Sylfaen"/>
          <w:lang w:val="ka-GE" w:eastAsia="ka-GE"/>
        </w:rPr>
        <w:t>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დასკვნ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სააგენტო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right="0"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ანტიდემპინგური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(29.03.2022 N1457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t>შეწყობისთვის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</w:t>
      </w:r>
      <w:r>
        <w:rPr>
          <w:rFonts w:ascii="Sylfaen" w:eastAsia="Times New Roman" w:hAnsi="Sylfaen" w:cs="Sylfaen"/>
          <w:lang w:val="ka-GE" w:eastAsia="ka-GE"/>
        </w:rPr>
        <w:t>იდემპინგური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right="0"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4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(29.03.2022 N1457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right="0"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ანტიდემპინგური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(29.03.2022 N1457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</w:t>
      </w:r>
      <w:r>
        <w:rPr>
          <w:rFonts w:ascii="Sylfaen" w:eastAsia="Times New Roman" w:hAnsi="Sylfaen" w:cs="Sylfaen"/>
          <w:lang w:val="ka-GE" w:eastAsia="ka-GE"/>
        </w:rPr>
        <w:t>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</w:t>
      </w:r>
      <w:r>
        <w:rPr>
          <w:rFonts w:ascii="Sylfaen" w:eastAsia="Times New Roman" w:hAnsi="Sylfaen" w:cs="Sylfaen"/>
          <w:lang w:val="ka-GE" w:eastAsia="ka-GE"/>
        </w:rPr>
        <w:t>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</w:t>
      </w:r>
      <w:r>
        <w:rPr>
          <w:rFonts w:ascii="Sylfaen" w:eastAsia="Times New Roman" w:hAnsi="Sylfaen" w:cs="Sylfaen"/>
          <w:lang w:val="ka-GE" w:eastAsia="ka-GE"/>
        </w:rPr>
        <w:t>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თანამდებობაცაა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</w:t>
      </w:r>
      <w:r>
        <w:rPr>
          <w:rFonts w:ascii="Sylfaen" w:eastAsia="Times New Roman" w:hAnsi="Sylfaen" w:cs="Sylfaen"/>
          <w:lang w:val="ka-GE" w:eastAsia="ka-GE"/>
        </w:rPr>
        <w:t>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ედგინოს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</w:t>
      </w:r>
      <w:r>
        <w:rPr>
          <w:rFonts w:ascii="Sylfaen" w:eastAsia="Times New Roman" w:hAnsi="Sylfaen" w:cs="Sylfaen"/>
          <w:lang w:val="ka-GE" w:eastAsia="ka-GE"/>
        </w:rPr>
        <w:t>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</w:t>
      </w:r>
      <w:r>
        <w:rPr>
          <w:rFonts w:ascii="Sylfaen" w:eastAsia="Times New Roman" w:hAnsi="Sylfaen" w:cs="Sylfaen"/>
          <w:lang w:val="ka-GE" w:eastAsia="ka-GE"/>
        </w:rPr>
        <w:t>ოფნისას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25.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29.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</w:t>
      </w:r>
      <w:r>
        <w:rPr>
          <w:rFonts w:ascii="Sylfaen" w:eastAsia="Times New Roman" w:hAnsi="Sylfaen" w:cs="Sylfaen"/>
          <w:lang w:val="ka-GE" w:eastAsia="ka-GE"/>
        </w:rPr>
        <w:t>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გათვითცნობიერება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right="0"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(29.03.2022 N1457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</w:t>
      </w:r>
      <w:r>
        <w:rPr>
          <w:rFonts w:ascii="Sylfaen" w:eastAsia="Times New Roman" w:hAnsi="Sylfaen" w:cs="Sylfaen"/>
          <w:lang w:val="ka-GE" w:eastAsia="ka-GE"/>
        </w:rPr>
        <w:t>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;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კონკურენციას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</w:t>
      </w:r>
      <w:r>
        <w:rPr>
          <w:rFonts w:ascii="Sylfaen" w:eastAsia="Times New Roman" w:hAnsi="Sylfaen" w:cs="Sylfaen"/>
          <w:lang w:val="ka-GE" w:eastAsia="ka-GE"/>
        </w:rPr>
        <w:t>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</w:t>
      </w:r>
      <w:r>
        <w:rPr>
          <w:rFonts w:ascii="Sylfaen" w:eastAsia="Times New Roman" w:hAnsi="Sylfaen" w:cs="Sylfaen"/>
          <w:lang w:val="ka-GE" w:eastAsia="ka-GE"/>
        </w:rPr>
        <w:t>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გამოთხოვისა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</w:t>
      </w:r>
      <w:r>
        <w:rPr>
          <w:rFonts w:ascii="Sylfaen" w:eastAsia="Times New Roman" w:hAnsi="Sylfaen" w:cs="Sylfaen"/>
          <w:lang w:val="ka-GE" w:eastAsia="ka-GE"/>
        </w:rPr>
        <w:t>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ანტიდემპინგური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right="0"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ანტიდემპინგური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(29.03</w:t>
      </w:r>
      <w:r>
        <w:rPr>
          <w:rFonts w:ascii="Sylfaen" w:hAnsi="Sylfaen" w:cs="Sylfaen"/>
          <w:sz w:val="20"/>
          <w:szCs w:val="20"/>
          <w:lang w:val="en-US"/>
        </w:rPr>
        <w:t xml:space="preserve">.2022 N1457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169E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hAnsi="Sylfaen" w:cs="Sylfaen"/>
          <w:lang w:eastAsia="x-none"/>
        </w:rPr>
        <w:t>.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სხდომებს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</w:t>
      </w:r>
      <w:r>
        <w:rPr>
          <w:rFonts w:ascii="Sylfaen" w:eastAsia="Times New Roman" w:hAnsi="Sylfaen" w:cs="Sylfaen"/>
          <w:lang w:val="ka-GE" w:eastAsia="ka-GE"/>
        </w:rPr>
        <w:t>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გაუვრცელებლობა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დაშტრიხული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კონფლიქტი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დექსის</w:t>
      </w:r>
      <w:r>
        <w:rPr>
          <w:rFonts w:ascii="Sylfaen" w:eastAsia="Times New Roman" w:hAnsi="Sylfaen" w:cs="Sylfaen"/>
          <w:lang w:val="ka-GE" w:eastAsia="ka-GE"/>
        </w:rPr>
        <w:t xml:space="preserve"> 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საკითხით</w:t>
      </w:r>
      <w:r>
        <w:rPr>
          <w:rFonts w:ascii="Sylfaen" w:eastAsia="Times New Roman" w:hAnsi="Sylfaen" w:cs="Sylfaen"/>
          <w:lang w:val="ka-GE" w:eastAsia="ka-GE"/>
        </w:rPr>
        <w:t>.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>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მუხლი 24. სააგენტოს მიერ საჩივრის საფუძველზე საქმის მოკვლევის დაწყებაზე უარის თქმის საფუძვლები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გრძელდეს</w:t>
      </w:r>
      <w:r>
        <w:rPr>
          <w:rFonts w:ascii="Sylfaen" w:eastAsia="Times New Roman" w:hAnsi="Sylfaen" w:cs="Sylfaen"/>
          <w:lang w:val="ka-GE" w:eastAsia="ka-GE"/>
        </w:rPr>
        <w:t xml:space="preserve">  18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</w:t>
      </w:r>
      <w:r>
        <w:rPr>
          <w:rFonts w:ascii="Sylfaen" w:eastAsia="Times New Roman" w:hAnsi="Sylfaen" w:cs="Sylfaen"/>
          <w:lang w:val="ka-GE" w:eastAsia="ka-GE"/>
        </w:rPr>
        <w:t>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განმცხადებელსა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იარსებებს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</w:t>
      </w:r>
      <w:r>
        <w:rPr>
          <w:rFonts w:ascii="Sylfaen" w:eastAsia="Times New Roman" w:hAnsi="Sylfaen" w:cs="Sylfaen"/>
          <w:lang w:val="ka-GE" w:eastAsia="ka-GE"/>
        </w:rPr>
        <w:t>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მოპასუხე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N2159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18"/>
          <w:szCs w:val="18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18"/>
          <w:szCs w:val="18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წლის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განცხად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</w:t>
      </w:r>
      <w:r>
        <w:rPr>
          <w:rFonts w:ascii="Sylfaen" w:eastAsia="Times New Roman" w:hAnsi="Sylfaen" w:cs="Sylfaen"/>
          <w:lang w:val="ka-GE" w:eastAsia="ka-GE"/>
        </w:rPr>
        <w:t>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lang w:val="ka-GE" w:eastAsia="ka-GE"/>
        </w:rPr>
        <w:t xml:space="preserve">.        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</w:t>
      </w:r>
      <w:r>
        <w:rPr>
          <w:rFonts w:ascii="Sylfaen" w:eastAsia="Times New Roman" w:hAnsi="Sylfaen" w:cs="Sylfaen"/>
          <w:lang w:val="ka-GE" w:eastAsia="ka-GE"/>
        </w:rPr>
        <w:t>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>,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მუხლს</w:t>
      </w:r>
      <w:r>
        <w:rPr>
          <w:rFonts w:ascii="Sylfaen" w:eastAsia="Times New Roman" w:hAnsi="Sylfaen" w:cs="Sylfaen"/>
          <w:lang w:val="ka-GE" w:eastAsia="ka-GE"/>
        </w:rPr>
        <w:t>,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-18, 22-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ფეროები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ექცევა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სანქციები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</w:t>
      </w:r>
      <w:r>
        <w:rPr>
          <w:rFonts w:ascii="Sylfaen" w:eastAsia="Times New Roman" w:hAnsi="Sylfaen" w:cs="Sylfaen"/>
          <w:lang w:val="ka-GE" w:eastAsia="ka-GE"/>
        </w:rPr>
        <w:t>ბისგან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</w:t>
      </w:r>
      <w:r>
        <w:rPr>
          <w:rFonts w:ascii="Sylfaen" w:eastAsia="Times New Roman" w:hAnsi="Sylfaen" w:cs="Sylfaen"/>
          <w:lang w:val="ka-GE" w:eastAsia="ka-GE"/>
        </w:rPr>
        <w:t>ნვის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1%-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</w:t>
      </w:r>
      <w:r>
        <w:rPr>
          <w:rFonts w:ascii="Sylfaen" w:eastAsia="Times New Roman" w:hAnsi="Sylfaen" w:cs="Sylfaen"/>
          <w:lang w:val="ka-GE" w:eastAsia="ka-GE"/>
        </w:rPr>
        <w:t>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აიძულა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169E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</w:t>
      </w:r>
      <w:r>
        <w:rPr>
          <w:rFonts w:ascii="Sylfaen" w:eastAsia="Times New Roman" w:hAnsi="Sylfaen" w:cs="Sylfaen"/>
          <w:lang w:val="ka-GE" w:eastAsia="ka-GE"/>
        </w:rPr>
        <w:t>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 (21.03.2014. N2159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</w:t>
      </w:r>
      <w:r>
        <w:rPr>
          <w:rFonts w:ascii="Sylfaen" w:eastAsia="Times New Roman" w:hAnsi="Sylfaen" w:cs="Sylfaen"/>
          <w:lang w:val="ka-GE" w:eastAsia="ka-GE"/>
        </w:rPr>
        <w:t>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№31, 27.06.2005,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188).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დამტკიცებისთანავე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(21.03.2014. N2159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№6148-I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4169E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52058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69E0"/>
    <w:rsid w:val="004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NormalWeb">
    <w:name w:val="Normal (Web)"/>
    <w:basedOn w:val="Normal"/>
    <w:uiPriority w:val="99"/>
    <w:pPr>
      <w:widowControl/>
      <w:spacing w:before="150" w:after="150"/>
      <w:ind w:left="675" w:right="525"/>
    </w:pPr>
    <w:rPr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10260"/>
      </w:tabs>
      <w:spacing w:line="360" w:lineRule="atLeast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customStyle="1" w:styleId="Normal1">
    <w:name w:val="Normal1"/>
    <w:basedOn w:val="Normal"/>
    <w:uiPriority w:val="99"/>
    <w:pPr>
      <w:widowControl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widowControl/>
      <w:ind w:firstLine="283"/>
    </w:pPr>
    <w:rPr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widowControl/>
      <w:spacing w:before="240" w:line="240" w:lineRule="exact"/>
      <w:ind w:left="850" w:hanging="850"/>
      <w:jc w:val="center"/>
    </w:pPr>
    <w:rPr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widowControl/>
      <w:numPr>
        <w:numId w:val="1"/>
      </w:numPr>
      <w:spacing w:before="240"/>
      <w:jc w:val="center"/>
    </w:pPr>
    <w:rPr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widowControl/>
      <w:jc w:val="center"/>
    </w:pPr>
    <w:rPr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basedOn w:val="Normal0"/>
    <w:uiPriority w:val="99"/>
    <w:pPr>
      <w:widowControl/>
    </w:pPr>
    <w:rPr>
      <w:rFonts w:ascii="Times New Roman" w:hAnsi="Times New Roman" w:cs="Times New Roman"/>
      <w:color w:val="00000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pPr>
      <w:spacing w:line="181" w:lineRule="atLeast"/>
    </w:pPr>
    <w:rPr>
      <w:color w:val="auto"/>
    </w:rPr>
  </w:style>
  <w:style w:type="character" w:styleId="PageNumber">
    <w:name w:val="page number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6">
    <w:name w:val="A6"/>
    <w:basedOn w:val="DefaultParagraphFont"/>
    <w:uiPriority w:val="99"/>
    <w:rPr>
      <w:sz w:val="18"/>
      <w:szCs w:val="18"/>
    </w:rPr>
  </w:style>
  <w:style w:type="character" w:customStyle="1" w:styleId="apple-style-span">
    <w:name w:val="apple-style-span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1659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12606</Words>
  <Characters>71855</Characters>
  <Application>Microsoft Office Word</Application>
  <DocSecurity>0</DocSecurity>
  <Lines>598</Lines>
  <Paragraphs>168</Paragraphs>
  <ScaleCrop>false</ScaleCrop>
  <Company/>
  <LinksUpToDate>false</LinksUpToDate>
  <CharactersWithSpaces>84293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