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30A0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0D862B8A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6F41168F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სერვისების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განვითარების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2F0B6C74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644C6565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14:paraId="61DAC9ED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14:paraId="21817B11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7F5AF936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14:paraId="60179C1A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4CC8BA8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6166953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სტატუსი</w:t>
      </w:r>
    </w:p>
    <w:p w14:paraId="14D35EF6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BEEB3A0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F6DB3B3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საფუძველი</w:t>
      </w:r>
    </w:p>
    <w:p w14:paraId="0E93CB2C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6E61519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3C4502D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14:paraId="2D449DFF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14:paraId="3C6E1CB3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74FC96E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</w:p>
    <w:p w14:paraId="7AEF68F5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1. 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D9A83B4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BBB5E3E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E1B3FCD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66B55B2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EC34650" w14:textId="77777777" w:rsidR="00000000" w:rsidRDefault="00053B98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eastAsia="x-none"/>
        </w:rPr>
        <w:t xml:space="preserve"> (27.04.2016. N5035)</w:t>
      </w:r>
    </w:p>
    <w:p w14:paraId="146D2AD4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10D099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1F3F4C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CC058D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FDBBE0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1D6F6C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483D35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60CBDC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7973D8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5DE36F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EAFB7B" w14:textId="77777777" w:rsidR="00000000" w:rsidRDefault="00053B98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4"/>
          <w:szCs w:val="24"/>
          <w:lang w:eastAsia="x-none"/>
        </w:rPr>
        <w:t xml:space="preserve">(21.04.2017. N654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FBE7593" w14:textId="77777777" w:rsidR="00000000" w:rsidRDefault="00053B98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კრიპტოგრაფიული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გასაღებების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(21.04.2017. N654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8B164B8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7191EE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F81BF2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454ED80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გასაგზავნად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აპოსტილით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28387E" w14:textId="77777777" w:rsidR="00000000" w:rsidRDefault="00053B98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0C1052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DAC565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trike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  <w:r>
        <w:rPr>
          <w:rFonts w:ascii="Sylfaen" w:hAnsi="Sylfaen" w:cs="Sylfaen"/>
          <w:strike/>
          <w:sz w:val="24"/>
          <w:szCs w:val="24"/>
          <w:lang w:val="en-US"/>
        </w:rPr>
        <w:t xml:space="preserve"> </w:t>
      </w:r>
    </w:p>
    <w:p w14:paraId="07D3A8F5" w14:textId="77777777" w:rsidR="00000000" w:rsidRDefault="00053B98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აპოსტილით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(27.04.2016. N5023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E057CD1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აპოსტილით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აპოსტილით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(27.04.2016. N5023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3925883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Calibri" w:hAnsi="Calibri" w:cs="Calibri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გასაწევად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(06.09.2013. N1014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05A535B" w14:textId="77777777" w:rsidR="00000000" w:rsidRDefault="00053B98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ავტომატურ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543CCBFC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ab/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  </w:t>
      </w:r>
    </w:p>
    <w:p w14:paraId="3B6A5B30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A3915B4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B028F5A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C425E5E" w14:textId="77777777" w:rsidR="00000000" w:rsidRDefault="00053B98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hAnsi="Sylfaen" w:cs="Sylfaen"/>
          <w:sz w:val="24"/>
          <w:szCs w:val="24"/>
          <w:lang w:eastAsia="x-none"/>
        </w:rPr>
        <w:t xml:space="preserve"> (27.04.2016. N5035)</w:t>
      </w:r>
    </w:p>
    <w:p w14:paraId="092AFA91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50DB4BEA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7FC358A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მხარდაჭერა</w:t>
      </w:r>
    </w:p>
    <w:p w14:paraId="719EA754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E862432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B27748C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საფასური</w:t>
      </w:r>
    </w:p>
    <w:p w14:paraId="23AEE55E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7A21E12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168409F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7841AC8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20450C9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ხელმძღვანელობა</w:t>
      </w:r>
    </w:p>
    <w:p w14:paraId="6A9BF899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.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C9CEDA7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B562B56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3C94BE6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C717F3B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სტრუქტურა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სამსახურები</w:t>
      </w:r>
    </w:p>
    <w:p w14:paraId="292B01FB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1F7C449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softHyphen/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9321702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(27.04.2016. N5035)</w:t>
      </w:r>
    </w:p>
    <w:p w14:paraId="21A9968C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4.  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</w:t>
      </w:r>
      <w:r>
        <w:rPr>
          <w:rFonts w:ascii="Sylfaen" w:eastAsia="Times New Roman" w:hAnsi="Sylfaen" w:cs="Sylfaen"/>
          <w:sz w:val="24"/>
          <w:szCs w:val="24"/>
          <w:lang w:val="en-US"/>
        </w:rPr>
        <w:t>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2014524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5C6261C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სავლები</w:t>
      </w:r>
    </w:p>
    <w:p w14:paraId="1DB0C436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softHyphen/>
      </w:r>
      <w:r>
        <w:rPr>
          <w:rFonts w:ascii="Sylfaen" w:eastAsia="Times New Roman" w:hAnsi="Sylfaen" w:cs="Sylfaen"/>
          <w:sz w:val="24"/>
          <w:szCs w:val="24"/>
          <w:lang w:val="en-US"/>
        </w:rPr>
        <w:t>ლო</w:t>
      </w:r>
      <w:r>
        <w:rPr>
          <w:rFonts w:ascii="Sylfaen" w:eastAsia="Times New Roman" w:hAnsi="Sylfaen" w:cs="Sylfaen"/>
          <w:sz w:val="24"/>
          <w:szCs w:val="24"/>
          <w:lang w:val="en-US"/>
        </w:rPr>
        <w:softHyphen/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1641364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საბრუნავი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748AE5F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A5635D5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85C213B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173A55B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C9B747F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2D0D6D9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შემოწირულებების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0CF0AD6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1DFA2F1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B7A99F1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9709AB5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</w:t>
      </w:r>
    </w:p>
    <w:p w14:paraId="5FEBC860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372F4AC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C21569C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შეწყვეტისა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14:paraId="46045658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F71463C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7A04497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14:paraId="4A7411B2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</w:t>
      </w:r>
    </w:p>
    <w:p w14:paraId="61D7C662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DE28CF2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14:paraId="6745F69B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რეორგანიზებულ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სერვისები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უფლებამონაცვლე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14:paraId="02127839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რეორგანიზაციასთან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დასრულებამდე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14:paraId="199AC301" w14:textId="77777777" w:rsidR="00000000" w:rsidRDefault="00053B98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კრიპტოგრაფიული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eastAsia="x-none"/>
        </w:rPr>
        <w:t>(21.04.2017. N654)</w:t>
      </w:r>
    </w:p>
    <w:p w14:paraId="6137BBDB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(21.04.2017. N654)</w:t>
      </w:r>
    </w:p>
    <w:p w14:paraId="322E9DC5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16766E8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color w:val="FF0000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</w:p>
    <w:p w14:paraId="36E3B20A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83208B7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color w:val="FF0000"/>
          <w:sz w:val="24"/>
          <w:szCs w:val="24"/>
          <w:lang w:val="en-US"/>
        </w:rPr>
      </w:pPr>
    </w:p>
    <w:p w14:paraId="12854194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სააკაშვილი</w:t>
      </w:r>
    </w:p>
    <w:p w14:paraId="1D31903A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1176C329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1429B751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2012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F6A537A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№6319-I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4D1139E0" w14:textId="77777777" w:rsidR="00000000" w:rsidRDefault="00053B9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num w:numId="1" w16cid:durableId="168304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3B98"/>
    <w:rsid w:val="0005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4E15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tavisataurixml">
    <w:name w:val="tavi_satauri_xml"/>
    <w:basedOn w:val="Normal"/>
    <w:uiPriority w:val="99"/>
    <w:pPr>
      <w:spacing w:after="240" w:line="240" w:lineRule="auto"/>
      <w:jc w:val="center"/>
    </w:pPr>
    <w:rPr>
      <w:b/>
      <w:bCs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b/>
      <w:bCs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abzacixmlChar">
    <w:name w:val="abzaci_xml Char"/>
    <w:basedOn w:val="DefaultParagraphFont"/>
    <w:uiPriority w:val="99"/>
    <w:rPr>
      <w:rFonts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