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ლობისტური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</w:t>
      </w:r>
      <w:r>
        <w:rPr>
          <w:rFonts w:ascii="Sylfaen" w:eastAsia="Times New Roman" w:hAnsi="Sylfaen" w:cs="Sylfaen"/>
          <w:lang w:eastAsia="x-none"/>
        </w:rPr>
        <w:t>თობებს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მთავარსარდლის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ლობისტური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_ `</w:t>
      </w:r>
      <w:r>
        <w:rPr>
          <w:rFonts w:ascii="Sylfaen" w:eastAsia="Times New Roman" w:hAnsi="Sylfaen" w:cs="Sylfaen"/>
          <w:lang w:eastAsia="x-none"/>
        </w:rPr>
        <w:t>ლობისტი</w:t>
      </w:r>
      <w:r>
        <w:rPr>
          <w:rFonts w:ascii="Sylfaen" w:eastAsia="Times New Roman" w:hAnsi="Sylfaen" w:cs="Sylfaen"/>
          <w:lang w:eastAsia="x-none"/>
        </w:rPr>
        <w:t xml:space="preserve"> )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2.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</w:t>
      </w:r>
      <w:r>
        <w:rPr>
          <w:rFonts w:ascii="Sylfaen" w:eastAsia="Times New Roman" w:hAnsi="Sylfaen" w:cs="Sylfaen"/>
          <w:lang w:eastAsia="x-none"/>
        </w:rPr>
        <w:t>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ლობისტად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</w:t>
      </w:r>
      <w:r>
        <w:rPr>
          <w:rFonts w:ascii="Sylfaen" w:eastAsia="Times New Roman" w:hAnsi="Sylfaen" w:cs="Sylfaen"/>
          <w:lang w:eastAsia="x-none"/>
        </w:rPr>
        <w:t>დუნარიან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დაინ</w:t>
      </w:r>
      <w:r>
        <w:rPr>
          <w:rFonts w:ascii="Sylfaen" w:eastAsia="Times New Roman" w:hAnsi="Sylfaen" w:cs="Sylfaen"/>
          <w:lang w:eastAsia="x-none"/>
        </w:rPr>
        <w:t>ტერესებულია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_ `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</w:t>
      </w:r>
      <w:r>
        <w:rPr>
          <w:rFonts w:ascii="Sylfaen" w:eastAsia="Times New Roman" w:hAnsi="Sylfaen" w:cs="Sylfaen"/>
          <w:lang w:eastAsia="x-none"/>
        </w:rPr>
        <w:t>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პრეზიდიუმს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</w:t>
      </w:r>
      <w:r>
        <w:rPr>
          <w:rFonts w:ascii="Sylfaen" w:eastAsia="Times New Roman" w:hAnsi="Sylfaen" w:cs="Sylfaen"/>
          <w:lang w:eastAsia="x-none"/>
        </w:rPr>
        <w:t>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; (27.04.2016 N5010)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N1253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გ</w:t>
      </w:r>
      <w:r>
        <w:rPr>
          <w:rStyle w:val="Strong"/>
          <w:rFonts w:ascii="Sylfaen" w:hAnsi="Sylfaen" w:cs="Sylfaen"/>
          <w:b w:val="0"/>
          <w:bCs w:val="0"/>
          <w:position w:val="12"/>
          <w:lang w:eastAsia="x-none"/>
        </w:rPr>
        <w:t>1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საქართველოს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მთავრობის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ადმინისტრაციის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უფროსს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თუ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დავალებით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გათვალისწინებული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საკანონმდებლო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ცვლილების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განხორციელება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საქართველოს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მთავრობის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აღმასრულებელი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ხელისუფლების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დაწესებულების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კომპე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ტენციას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განეკუთვნება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; (02.05.2014. N2362)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ab/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(05.02.2014. N1966)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>.  (27.04.2016 N5010)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lang w:eastAsia="x-none"/>
        </w:rPr>
        <w:t>(27.04.2016 N5010)</w:t>
      </w:r>
    </w:p>
    <w:p w:rsidR="00000000" w:rsidRDefault="009E54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ეთქმებ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</w:t>
      </w:r>
      <w:r>
        <w:rPr>
          <w:rFonts w:ascii="Sylfaen" w:eastAsia="Times New Roman" w:hAnsi="Sylfaen" w:cs="Sylfaen"/>
          <w:lang w:eastAsia="x-none"/>
        </w:rPr>
        <w:t>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</w:t>
      </w:r>
      <w:r>
        <w:rPr>
          <w:rFonts w:ascii="Sylfaen" w:eastAsia="Times New Roman" w:hAnsi="Sylfaen" w:cs="Sylfaen"/>
          <w:lang w:eastAsia="x-none"/>
        </w:rPr>
        <w:t>ბუთებული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დავალება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დავალებაში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</w:t>
      </w:r>
      <w:r>
        <w:rPr>
          <w:rFonts w:ascii="Sylfaen" w:eastAsia="Times New Roman" w:hAnsi="Sylfaen" w:cs="Sylfaen"/>
          <w:lang w:eastAsia="x-none"/>
        </w:rPr>
        <w:t>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ორმოცდაათკაციანი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</w:t>
      </w:r>
      <w:r>
        <w:rPr>
          <w:rFonts w:ascii="Sylfaen" w:eastAsia="Times New Roman" w:hAnsi="Sylfaen" w:cs="Sylfaen"/>
          <w:lang w:eastAsia="x-none"/>
        </w:rPr>
        <w:t>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</w:t>
      </w:r>
      <w:r>
        <w:rPr>
          <w:rFonts w:ascii="Sylfaen" w:eastAsia="Times New Roman" w:hAnsi="Sylfaen" w:cs="Sylfaen"/>
          <w:lang w:eastAsia="x-none"/>
        </w:rPr>
        <w:t>მევა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ლობისტი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ლობისტის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შენობაში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</w:t>
      </w:r>
      <w:r>
        <w:rPr>
          <w:rFonts w:ascii="Sylfaen" w:eastAsia="Times New Roman" w:hAnsi="Sylfaen" w:cs="Sylfaen"/>
          <w:lang w:eastAsia="x-none"/>
        </w:rPr>
        <w:t>ნისტრაცია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(27.04.2016 N5010)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ab/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განხილვამდე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`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</w:t>
      </w:r>
      <w:r>
        <w:rPr>
          <w:rFonts w:ascii="Sylfaen" w:eastAsia="Times New Roman" w:hAnsi="Sylfaen" w:cs="Sylfaen"/>
          <w:lang w:eastAsia="x-none"/>
        </w:rPr>
        <w:t>ამენტირებული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ლობისტს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წევრთან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შეხვედრებისა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</w:t>
      </w:r>
      <w:r>
        <w:rPr>
          <w:rFonts w:ascii="Sylfaen" w:eastAsia="Times New Roman" w:hAnsi="Sylfaen" w:cs="Sylfaen"/>
          <w:lang w:eastAsia="x-none"/>
        </w:rPr>
        <w:t>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`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ლობისტი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არამატერიალ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ლობისტის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თარიღისა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</w:t>
      </w:r>
      <w:r>
        <w:rPr>
          <w:rFonts w:ascii="Sylfaen" w:eastAsia="Times New Roman" w:hAnsi="Sylfaen" w:cs="Sylfaen"/>
          <w:lang w:eastAsia="x-none"/>
        </w:rPr>
        <w:t>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(27.04.2016 N5010)</w:t>
      </w:r>
    </w:p>
    <w:p w:rsidR="00000000" w:rsidRDefault="009E549F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ნისტრაციაში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(27.04.2016 N5010)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N7019)</w:t>
      </w:r>
    </w:p>
    <w:p w:rsidR="00000000" w:rsidRDefault="009E5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ლობისტური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ლობისტური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ლობისტი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ლობისტთა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სექტემბერი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1591 -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9E549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549F"/>
    <w:rsid w:val="009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160" w:line="259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2374</Words>
  <Characters>13535</Characters>
  <Application>Microsoft Office Word</Application>
  <DocSecurity>0</DocSecurity>
  <Lines>112</Lines>
  <Paragraphs>31</Paragraphs>
  <ScaleCrop>false</ScaleCrop>
  <Company/>
  <LinksUpToDate>false</LinksUpToDate>
  <CharactersWithSpaces>15878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