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9460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1FCB0E81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4BF8266E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ქონების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09E73350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</w:rPr>
      </w:pPr>
    </w:p>
    <w:p w14:paraId="05A84661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1.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№48, 09.08.2010,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312)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</w:t>
      </w:r>
      <w:r>
        <w:rPr>
          <w:rFonts w:ascii="Sylfaen" w:hAnsi="Sylfaen" w:cs="Sylfaen"/>
        </w:rPr>
        <w:t>:</w:t>
      </w:r>
    </w:p>
    <w:p w14:paraId="23A0A133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6454F093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299E2972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>;</w:t>
      </w:r>
    </w:p>
    <w:p w14:paraId="33A8BF6D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შემძენის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თანხისაგან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);“;</w:t>
      </w:r>
    </w:p>
    <w:p w14:paraId="6BC4773C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ჩ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>:</w:t>
      </w:r>
    </w:p>
    <w:p w14:paraId="6B1F334D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ჩ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საწყისი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პრივატიზებისას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მა</w:t>
      </w:r>
      <w:r>
        <w:rPr>
          <w:rFonts w:ascii="Sylfaen" w:hAnsi="Sylfaen" w:cs="Sylfaen"/>
        </w:rPr>
        <w:t>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მატება</w:t>
      </w:r>
      <w:r>
        <w:rPr>
          <w:rFonts w:ascii="Sylfaen" w:hAnsi="Sylfaen" w:cs="Sylfaen"/>
        </w:rPr>
        <w:t>;</w:t>
      </w:r>
    </w:p>
    <w:p w14:paraId="27001094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საწყისი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საპრივატიზებოდ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>ფლებით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გადასაცემად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საწყისი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თანხისაგან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).“.</w:t>
      </w:r>
    </w:p>
    <w:p w14:paraId="4888BE21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2. 3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: </w:t>
      </w:r>
    </w:p>
    <w:p w14:paraId="40F2D2F4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3E93A1BF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ნასყიდობის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პრივატიზების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გამარჯვების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</w:t>
      </w:r>
      <w:r>
        <w:rPr>
          <w:rFonts w:ascii="Sylfaen" w:hAnsi="Sylfaen" w:cs="Sylfaen"/>
        </w:rPr>
        <w:t>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>.“;</w:t>
      </w:r>
    </w:p>
    <w:p w14:paraId="40B104B0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20DA7C8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მყიდველი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ჩატარებიდან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კალენდარულ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კალენდარულ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>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</w:t>
      </w:r>
      <w:r>
        <w:rPr>
          <w:rFonts w:ascii="Sylfaen" w:hAnsi="Sylfaen" w:cs="Sylfaen"/>
        </w:rPr>
        <w:t>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განკარგვის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შემთხვევებზე</w:t>
      </w:r>
      <w:r>
        <w:rPr>
          <w:rFonts w:ascii="Sylfaen" w:hAnsi="Sylfaen" w:cs="Sylfaen"/>
        </w:rPr>
        <w:t>).</w:t>
      </w:r>
    </w:p>
    <w:p w14:paraId="40EA8750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განმკარგავი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>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საფუძველია</w:t>
      </w:r>
      <w:r>
        <w:rPr>
          <w:rFonts w:ascii="Sylfaen" w:hAnsi="Sylfaen" w:cs="Sylfaen"/>
        </w:rPr>
        <w:t>.“.</w:t>
      </w:r>
    </w:p>
    <w:p w14:paraId="0055D1DF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77610843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086F1A5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განკარგვის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მიანიჭოს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</w:t>
      </w:r>
      <w:r>
        <w:rPr>
          <w:rFonts w:ascii="Sylfaen" w:hAnsi="Sylfaen" w:cs="Sylfaen"/>
        </w:rPr>
        <w:t>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განმკარგავ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მაღალ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სარგებლობაში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შესთავაზებს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პირობებით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მიანიჭოს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აუქციონშ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დააკმაყოფილოს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განმკარგავ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მაღალ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სარგებლობაში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შესთავაზებს</w:t>
      </w:r>
      <w:r>
        <w:rPr>
          <w:rFonts w:ascii="Sylfaen" w:hAnsi="Sylfaen" w:cs="Sylfaen"/>
        </w:rPr>
        <w:t>.“;</w:t>
      </w:r>
    </w:p>
    <w:p w14:paraId="33F1202F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>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3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>:</w:t>
      </w:r>
    </w:p>
    <w:p w14:paraId="446C6B5D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„3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განკარგვისას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გამოუხმობ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</w:t>
      </w:r>
      <w:r>
        <w:rPr>
          <w:rFonts w:ascii="Sylfaen" w:hAnsi="Sylfaen" w:cs="Sylfaen"/>
        </w:rPr>
        <w:t>ანტიას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ბეს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გამარჯვებული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/ </w:t>
      </w:r>
      <w:r>
        <w:rPr>
          <w:rFonts w:ascii="Sylfaen" w:hAnsi="Sylfaen" w:cs="Sylfaen"/>
        </w:rPr>
        <w:t>სარგებლობაში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ვებგვერდ</w:t>
      </w:r>
      <w:r>
        <w:rPr>
          <w:rFonts w:ascii="Sylfaen" w:hAnsi="Sylfaen" w:cs="Sylfaen"/>
        </w:rPr>
        <w:t xml:space="preserve"> www.eauction.ge-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ანგარიშსწორების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საშუალებით</w:t>
      </w:r>
      <w:r>
        <w:rPr>
          <w:rFonts w:ascii="Sylfaen" w:hAnsi="Sylfaen" w:cs="Sylfaen"/>
        </w:rPr>
        <w:t>.“;</w:t>
      </w:r>
    </w:p>
    <w:p w14:paraId="0E5FA2C8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5F49DE3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V </w:t>
      </w:r>
      <w:r>
        <w:rPr>
          <w:rFonts w:ascii="Sylfaen" w:hAnsi="Sylfaen" w:cs="Sylfaen"/>
        </w:rPr>
        <w:t>თავზე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მიქცეული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ბეს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>.“.</w:t>
      </w:r>
    </w:p>
    <w:p w14:paraId="1459CF08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-9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46816E9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იჯარით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გაუცემელი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იჯარით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გაუცემელი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საწყისი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შემცირდეს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იჯარით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გაუცემელ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მდებარეობს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დამხმარე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ნაგებობა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ნაგებობები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lastRenderedPageBreak/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მრავალწლიანი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ნარგავები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იჯ</w:t>
      </w:r>
      <w:r>
        <w:rPr>
          <w:rFonts w:ascii="Sylfaen" w:hAnsi="Sylfaen" w:cs="Sylfaen"/>
        </w:rPr>
        <w:t>არით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გაუცემელი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გაიყიდება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დამხმარე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ნაგებობისა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ნაგებობებისა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მრავალწლიანი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ნარგავებისა</w:t>
      </w:r>
      <w:r>
        <w:rPr>
          <w:rFonts w:ascii="Sylfaen" w:hAnsi="Sylfaen" w:cs="Sylfaen"/>
        </w:rPr>
        <w:t>.</w:t>
      </w:r>
    </w:p>
    <w:p w14:paraId="3843BA8B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აუქციონში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გამარჯვებული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ჩატარებიდან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იჯარით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გაუცემელი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პრივატიზების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საფუძველია</w:t>
      </w:r>
      <w:r>
        <w:rPr>
          <w:rFonts w:ascii="Sylfaen" w:hAnsi="Sylfaen" w:cs="Sylfaen"/>
        </w:rPr>
        <w:t>.“.</w:t>
      </w:r>
    </w:p>
    <w:p w14:paraId="19582E6E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-19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66F9F3D2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</w:t>
      </w:r>
      <w:r>
        <w:rPr>
          <w:rFonts w:ascii="Sylfaen" w:hAnsi="Sylfaen" w:cs="Sylfaen"/>
        </w:rPr>
        <w:t>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E0BB288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საწყისი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საწყისი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მხედველობაში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.“; </w:t>
      </w:r>
    </w:p>
    <w:p w14:paraId="41CCCCD2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8DA5DB7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აუქციონში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გამარჯვებულმა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დაიხადოს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შეადგენდეს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30 </w:t>
      </w:r>
      <w:r>
        <w:rPr>
          <w:rFonts w:ascii="Sylfaen" w:hAnsi="Sylfaen" w:cs="Sylfaen"/>
        </w:rPr>
        <w:t>კალენდარულ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პრივატიზების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</w:t>
      </w:r>
      <w:r>
        <w:rPr>
          <w:rFonts w:ascii="Sylfaen" w:hAnsi="Sylfaen" w:cs="Sylfaen"/>
        </w:rPr>
        <w:t>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ჩატარებიდან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წელს</w:t>
      </w:r>
      <w:r>
        <w:rPr>
          <w:rFonts w:ascii="Sylfaen" w:hAnsi="Sylfaen" w:cs="Sylfaen"/>
        </w:rPr>
        <w:t xml:space="preserve">.“. </w:t>
      </w:r>
    </w:p>
    <w:p w14:paraId="1C4A35FC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6. 31-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: </w:t>
      </w:r>
    </w:p>
    <w:p w14:paraId="6605CBBA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7658DD8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მოძრავი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საწყისი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>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>.“;</w:t>
      </w:r>
    </w:p>
    <w:p w14:paraId="5DFF40D4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2466E90C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მოძრავი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მყიდველს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ნასყიდობის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მოძრავი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</w:t>
      </w:r>
      <w:r>
        <w:rPr>
          <w:rFonts w:ascii="Sylfaen" w:hAnsi="Sylfaen" w:cs="Sylfaen"/>
        </w:rPr>
        <w:t>ვატიზებისას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ნასყიდობის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პრივატიზების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გამარჯვების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ნასყიდობის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ჩატარებიდან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</w:t>
      </w:r>
      <w:r>
        <w:rPr>
          <w:rFonts w:ascii="Sylfaen" w:hAnsi="Sylfaen" w:cs="Sylfaen"/>
        </w:rPr>
        <w:t>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მიყიდვის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პრივატიზებისას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.</w:t>
      </w:r>
    </w:p>
    <w:p w14:paraId="1B0737A5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მოძრავი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</w:t>
      </w:r>
      <w:r>
        <w:rPr>
          <w:rFonts w:ascii="Sylfaen" w:hAnsi="Sylfaen" w:cs="Sylfaen"/>
        </w:rPr>
        <w:t>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>.“.</w:t>
      </w:r>
    </w:p>
    <w:p w14:paraId="7EEE76F3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(5.06.2012 N 6380)</w:t>
      </w:r>
    </w:p>
    <w:p w14:paraId="1D564975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(5.06.2012 N 6380)</w:t>
      </w:r>
    </w:p>
    <w:p w14:paraId="124CC6AD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9. 45-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: </w:t>
      </w:r>
    </w:p>
    <w:p w14:paraId="266EA507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7DBDD0A3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წილებისა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საწყისი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>.“;</w:t>
      </w:r>
    </w:p>
    <w:p w14:paraId="75F9E7E9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F42C8AA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წილებისა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მყიდველს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ნასყიდობის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პრივატიზებისას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</w:t>
      </w:r>
      <w:r>
        <w:rPr>
          <w:rFonts w:ascii="Sylfaen" w:hAnsi="Sylfaen" w:cs="Sylfaen"/>
        </w:rPr>
        <w:t>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გამარჯვების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ნასყიდობის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ჩატარებიდან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მიყიდვის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</w:rPr>
        <w:t>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პრივატიზებისას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წილებისა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მყიდველს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მარეგისტრირებელ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დარეგისტრირდეს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</w:t>
      </w:r>
      <w:r>
        <w:rPr>
          <w:rFonts w:ascii="Sylfaen" w:hAnsi="Sylfaen" w:cs="Sylfaen"/>
        </w:rPr>
        <w:t>.“.</w:t>
      </w:r>
    </w:p>
    <w:p w14:paraId="1018CE58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47</w:t>
      </w:r>
      <w:r>
        <w:rPr>
          <w:rFonts w:ascii="Sylfaen" w:hAnsi="Sylfaen" w:cs="Sylfaen"/>
          <w:position w:val="12"/>
        </w:rPr>
        <w:t>4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:</w:t>
      </w:r>
    </w:p>
    <w:p w14:paraId="22B0BC5E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„</w:t>
      </w: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47</w:t>
      </w:r>
      <w:r>
        <w:rPr>
          <w:rFonts w:ascii="Sylfaen" w:hAnsi="Sylfaen" w:cs="Sylfaen"/>
          <w:b/>
          <w:bCs/>
          <w:position w:val="12"/>
        </w:rPr>
        <w:t>4</w:t>
      </w:r>
      <w:r>
        <w:rPr>
          <w:rFonts w:ascii="Sylfaen" w:hAnsi="Sylfaen" w:cs="Sylfaen"/>
          <w:b/>
          <w:bCs/>
        </w:rPr>
        <w:t xml:space="preserve">. 2011 </w:t>
      </w:r>
      <w:r>
        <w:rPr>
          <w:rFonts w:ascii="Sylfaen" w:hAnsi="Sylfaen" w:cs="Sylfaen"/>
          <w:b/>
          <w:bCs/>
        </w:rPr>
        <w:t>წლის</w:t>
      </w:r>
      <w:r>
        <w:rPr>
          <w:rFonts w:ascii="Sylfaen" w:hAnsi="Sylfaen" w:cs="Sylfaen"/>
          <w:b/>
          <w:bCs/>
        </w:rPr>
        <w:t xml:space="preserve"> 1 </w:t>
      </w:r>
      <w:r>
        <w:rPr>
          <w:rFonts w:ascii="Sylfaen" w:hAnsi="Sylfaen" w:cs="Sylfaen"/>
          <w:b/>
          <w:bCs/>
        </w:rPr>
        <w:t>იანვრამდე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იჯარა</w:t>
      </w:r>
      <w:r>
        <w:rPr>
          <w:rFonts w:ascii="Sylfaen" w:hAnsi="Sylfaen" w:cs="Sylfaen"/>
          <w:b/>
          <w:bCs/>
        </w:rPr>
        <w:t>-</w:t>
      </w:r>
      <w:r>
        <w:rPr>
          <w:rFonts w:ascii="Sylfaen" w:hAnsi="Sylfaen" w:cs="Sylfaen"/>
          <w:b/>
          <w:bCs/>
        </w:rPr>
        <w:t>გამოსყიდვის</w:t>
      </w:r>
      <w:r>
        <w:rPr>
          <w:rFonts w:ascii="Sylfaen" w:hAnsi="Sylfaen" w:cs="Sylfaen"/>
          <w:b/>
          <w:bCs/>
        </w:rPr>
        <w:t xml:space="preserve">, </w:t>
      </w:r>
      <w:r>
        <w:rPr>
          <w:rFonts w:ascii="Sylfaen" w:hAnsi="Sylfaen" w:cs="Sylfaen"/>
          <w:b/>
          <w:bCs/>
        </w:rPr>
        <w:t>კონკურსის</w:t>
      </w:r>
      <w:r>
        <w:rPr>
          <w:rFonts w:ascii="Sylfaen" w:hAnsi="Sylfaen" w:cs="Sylfaen"/>
          <w:b/>
          <w:bCs/>
        </w:rPr>
        <w:t xml:space="preserve">, </w:t>
      </w:r>
      <w:r>
        <w:rPr>
          <w:rFonts w:ascii="Sylfaen" w:hAnsi="Sylfaen" w:cs="Sylfaen"/>
          <w:b/>
          <w:bCs/>
        </w:rPr>
        <w:t>აუქციონის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ან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სხვა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ფორმით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პრივატიზებულ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ქონებაზე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საკუთრების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უფლების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დადასტურების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წესი</w:t>
      </w:r>
    </w:p>
    <w:p w14:paraId="7137370A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იჯარა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გამოს</w:t>
      </w:r>
      <w:r>
        <w:rPr>
          <w:rFonts w:ascii="Sylfaen" w:hAnsi="Sylfaen" w:cs="Sylfaen"/>
        </w:rPr>
        <w:t>ყიდვის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პრივატიზებისას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დადგა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პრივატიზების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საპრივატიზებო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დადასტურება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მარეგისტრირებელ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მყიდველი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დაარეგისტრიროს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</w:t>
      </w:r>
      <w:r>
        <w:rPr>
          <w:rFonts w:ascii="Sylfaen" w:hAnsi="Sylfaen" w:cs="Sylfaen"/>
        </w:rPr>
        <w:t>.“.</w:t>
      </w:r>
    </w:p>
    <w:p w14:paraId="6E47731D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11.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49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>:</w:t>
      </w:r>
    </w:p>
    <w:p w14:paraId="461822BC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„</w:t>
      </w: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49</w:t>
      </w:r>
      <w:r>
        <w:rPr>
          <w:rFonts w:ascii="Sylfaen" w:hAnsi="Sylfaen" w:cs="Sylfaen"/>
          <w:b/>
          <w:bCs/>
          <w:position w:val="6"/>
        </w:rPr>
        <w:t>1</w:t>
      </w:r>
      <w:r>
        <w:rPr>
          <w:rFonts w:ascii="Sylfaen" w:hAnsi="Sylfaen" w:cs="Sylfaen"/>
          <w:b/>
          <w:bCs/>
        </w:rPr>
        <w:t xml:space="preserve">. </w:t>
      </w:r>
      <w:r>
        <w:rPr>
          <w:rFonts w:ascii="Sylfaen" w:hAnsi="Sylfaen" w:cs="Sylfaen"/>
          <w:b/>
          <w:bCs/>
        </w:rPr>
        <w:t>საპრივატიზებო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პირობების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შეუსრულებლობისათვის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დაკისრებული</w:t>
      </w:r>
      <w:r>
        <w:rPr>
          <w:rFonts w:ascii="Sylfaen" w:hAnsi="Sylfaen" w:cs="Sylfaen"/>
          <w:b/>
          <w:bCs/>
        </w:rPr>
        <w:t>/</w:t>
      </w:r>
      <w:r>
        <w:rPr>
          <w:rFonts w:ascii="Sylfaen" w:hAnsi="Sylfaen" w:cs="Sylfaen"/>
          <w:b/>
          <w:bCs/>
        </w:rPr>
        <w:t>დასაკისრებელი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პირგასამტეხლოსგან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გათავისუფლება</w:t>
      </w:r>
    </w:p>
    <w:p w14:paraId="26F9623C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შემძენი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დაკისრებული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დასაკისრებელი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პირგასამტეხლოსგან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მინისტროს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საინვესტიციო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ხელშეწყობის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დაყრდნობით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დასამტკიცებლად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მთავრობას</w:t>
      </w:r>
      <w:r>
        <w:rPr>
          <w:rFonts w:ascii="Sylfaen" w:hAnsi="Sylfaen" w:cs="Sylfaen"/>
        </w:rPr>
        <w:t>.“.</w:t>
      </w:r>
    </w:p>
    <w:p w14:paraId="483A6CC4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(5.06.2012 N 6380)</w:t>
      </w:r>
    </w:p>
    <w:p w14:paraId="046B744C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 </w:t>
      </w:r>
    </w:p>
    <w:p w14:paraId="295939F7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(5.06.2012 N 6380)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14:paraId="5F116E9A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(5.06.2012 N 6380)</w:t>
      </w:r>
    </w:p>
    <w:p w14:paraId="3ACCFACA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64BDDFFD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</w:t>
      </w:r>
      <w:r>
        <w:rPr>
          <w:rFonts w:ascii="Sylfaen" w:hAnsi="Sylfaen" w:cs="Sylfaen"/>
        </w:rPr>
        <w:t xml:space="preserve">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6346C71F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2D51E4C7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39C26B14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27 </w:t>
      </w:r>
      <w:r>
        <w:rPr>
          <w:rFonts w:ascii="Sylfaen" w:hAnsi="Sylfaen" w:cs="Sylfaen"/>
        </w:rPr>
        <w:t>მარტი</w:t>
      </w:r>
      <w:r>
        <w:rPr>
          <w:rFonts w:ascii="Sylfaen" w:hAnsi="Sylfaen" w:cs="Sylfaen"/>
        </w:rPr>
        <w:t>.</w:t>
      </w:r>
    </w:p>
    <w:p w14:paraId="7292AE5C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</w:rPr>
        <w:t>№5928-I</w:t>
      </w:r>
      <w:r>
        <w:rPr>
          <w:rFonts w:ascii="Sylfaen" w:hAnsi="Sylfaen" w:cs="Sylfaen"/>
        </w:rPr>
        <w:t>ს</w:t>
      </w:r>
    </w:p>
    <w:p w14:paraId="0038064C" w14:textId="77777777" w:rsidR="00000000" w:rsidRDefault="00A7352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num w:numId="1" w16cid:durableId="26111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73525"/>
    <w:rsid w:val="00A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031C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sulcvlilebaxml">
    <w:name w:val="sul_cvlileba_xml"/>
    <w:basedOn w:val="sataurixml"/>
    <w:uiPriority w:val="99"/>
    <w:pPr>
      <w:jc w:val="left"/>
    </w:pPr>
    <w:rPr>
      <w:sz w:val="22"/>
      <w:szCs w:val="22"/>
    </w:rPr>
  </w:style>
  <w:style w:type="paragraph" w:customStyle="1" w:styleId="tarigixml">
    <w:name w:val="tarigi_xml"/>
    <w:basedOn w:val="abzacixml"/>
    <w:uiPriority w:val="99"/>
    <w:pPr>
      <w:spacing w:before="120" w:after="12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</w:rPr>
  </w:style>
  <w:style w:type="paragraph" w:customStyle="1" w:styleId="ckhrilixml">
    <w:name w:val="ckhrili_xml"/>
    <w:basedOn w:val="abzacixml"/>
    <w:uiPriority w:val="99"/>
    <w:pPr>
      <w:ind w:firstLine="0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 w:cs="Calibri"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muxlixml">
    <w:name w:val="muxli_xml"/>
    <w:basedOn w:val="Normal"/>
    <w:uiPriority w:val="99"/>
    <w:pPr>
      <w:keepNext/>
      <w:keepLines/>
      <w:tabs>
        <w:tab w:val="left" w:pos="283"/>
      </w:tabs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character" w:customStyle="1" w:styleId="CharChar3">
    <w:name w:val="Char Char3"/>
    <w:basedOn w:val="DefaultParagraphFont"/>
    <w:uiPriority w:val="99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2">
    <w:name w:val="Char Char2"/>
    <w:basedOn w:val="DefaultParagraphFont"/>
    <w:uiPriority w:val="99"/>
    <w:rPr>
      <w:sz w:val="20"/>
      <w:szCs w:val="20"/>
    </w:rPr>
  </w:style>
  <w:style w:type="character" w:customStyle="1" w:styleId="CharChar1">
    <w:name w:val="Char Char1"/>
    <w:basedOn w:val="CharChar2"/>
    <w:uiPriority w:val="99"/>
    <w:rPr>
      <w:b/>
      <w:bCs/>
      <w:sz w:val="20"/>
      <w:szCs w:val="20"/>
    </w:rPr>
  </w:style>
  <w:style w:type="character" w:customStyle="1" w:styleId="CharChar">
    <w:name w:val="Char Char"/>
    <w:basedOn w:val="DefaultParagraphFont"/>
    <w:uiPriority w:val="9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  <w:style w:type="character" w:styleId="HTMLCite">
    <w:name w:val="HTML Cite"/>
    <w:basedOn w:val="DefaultParagraphFont"/>
    <w:uiPriority w:val="99"/>
    <w:rPr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1577</Words>
  <Characters>8993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