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ვებგვერდი</w:t>
      </w:r>
      <w:r>
        <w:rPr>
          <w:rFonts w:ascii="Sylfaen" w:hAnsi="Sylfaen" w:cs="Sylfaen"/>
        </w:rPr>
        <w:t xml:space="preserve">, 19/06/2012 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კოდი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020080010.05.001.016805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</w:rPr>
      </w:pP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ადმინისტრაციული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სახდელისაგან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განთავისუფლების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b/>
          <w:bCs/>
        </w:rPr>
      </w:pP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 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ხასიათის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</w:t>
      </w:r>
      <w:r>
        <w:rPr>
          <w:rFonts w:ascii="Sylfaen" w:hAnsi="Sylfaen" w:cs="Sylfaen"/>
        </w:rPr>
        <w:t>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№12, 1984 </w:t>
      </w:r>
      <w:r>
        <w:rPr>
          <w:rFonts w:ascii="Sylfaen" w:hAnsi="Sylfaen" w:cs="Sylfaen"/>
        </w:rPr>
        <w:t>წელი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421)  96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  <w:position w:val="6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130-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აღსრულებულა</w:t>
      </w:r>
      <w:r>
        <w:rPr>
          <w:rFonts w:ascii="Sylfaen" w:hAnsi="Sylfaen" w:cs="Sylfaen"/>
        </w:rPr>
        <w:t xml:space="preserve">. 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თავისუფლდებიან</w:t>
      </w:r>
      <w:r>
        <w:rPr>
          <w:rFonts w:ascii="Sylfaen" w:hAnsi="Sylfaen" w:cs="Sylfaen"/>
        </w:rPr>
        <w:t>: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სოციალურად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მონაცემთა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ბაზაში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მაჩვენებელი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ტოლია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ნაკლებია</w:t>
      </w:r>
      <w:r>
        <w:rPr>
          <w:rFonts w:ascii="Sylfaen" w:hAnsi="Sylfaen" w:cs="Sylfaen"/>
        </w:rPr>
        <w:t xml:space="preserve"> 70 000 </w:t>
      </w:r>
      <w:r>
        <w:rPr>
          <w:rFonts w:ascii="Sylfaen" w:hAnsi="Sylfaen" w:cs="Sylfaen"/>
        </w:rPr>
        <w:t>ქულაზე</w:t>
      </w:r>
      <w:r>
        <w:rPr>
          <w:rFonts w:ascii="Sylfaen" w:hAnsi="Sylfaen" w:cs="Sylfaen"/>
        </w:rPr>
        <w:t>;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სახდელდადებული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პენსიონერი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ქალი</w:t>
      </w:r>
      <w:r>
        <w:rPr>
          <w:rFonts w:ascii="Sylfaen" w:hAnsi="Sylfaen" w:cs="Sylfaen"/>
        </w:rPr>
        <w:t xml:space="preserve"> 60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მამაკაცი</w:t>
      </w:r>
      <w:r>
        <w:rPr>
          <w:rFonts w:ascii="Sylfaen" w:hAnsi="Sylfaen" w:cs="Sylfaen"/>
        </w:rPr>
        <w:t xml:space="preserve"> 65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ასაკიდან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მკვეთრად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მნიშვნელოვნად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ბავშვის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მშობელი</w:t>
      </w:r>
      <w:r>
        <w:rPr>
          <w:rFonts w:ascii="Sylfaen" w:hAnsi="Sylfaen" w:cs="Sylfaen"/>
        </w:rPr>
        <w:t xml:space="preserve">; 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აბონენტი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მისამართზე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</w:t>
      </w:r>
      <w:r>
        <w:rPr>
          <w:rFonts w:ascii="Sylfaen" w:hAnsi="Sylfaen" w:cs="Sylfaen"/>
        </w:rPr>
        <w:t>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პენსიონერი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ქალი</w:t>
      </w:r>
      <w:r>
        <w:rPr>
          <w:rFonts w:ascii="Sylfaen" w:hAnsi="Sylfaen" w:cs="Sylfaen"/>
        </w:rPr>
        <w:t xml:space="preserve"> 60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მამაკაცი</w:t>
      </w:r>
      <w:r>
        <w:rPr>
          <w:rFonts w:ascii="Sylfaen" w:hAnsi="Sylfaen" w:cs="Sylfaen"/>
        </w:rPr>
        <w:t xml:space="preserve"> 65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ასაკიდან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ბავშვი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მკვეთრად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მნიშვნელოვნად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ირი</w:t>
      </w:r>
      <w:r>
        <w:rPr>
          <w:rFonts w:ascii="Sylfaen" w:hAnsi="Sylfaen" w:cs="Sylfaen"/>
        </w:rPr>
        <w:t xml:space="preserve">).  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 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გულისხმობს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საურავისაგან</w:t>
      </w:r>
      <w:r>
        <w:rPr>
          <w:rFonts w:ascii="Sylfaen" w:hAnsi="Sylfaen" w:cs="Sylfaen"/>
        </w:rPr>
        <w:t>.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</w:t>
      </w:r>
      <w:r>
        <w:rPr>
          <w:rFonts w:ascii="Sylfaen" w:hAnsi="Sylfaen" w:cs="Sylfaen"/>
        </w:rPr>
        <w:t>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როგორც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ისე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საურავის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აღუსრულებელ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ნაწილზე</w:t>
      </w:r>
      <w:r>
        <w:rPr>
          <w:rFonts w:ascii="Sylfaen" w:hAnsi="Sylfaen" w:cs="Sylfaen"/>
        </w:rPr>
        <w:t xml:space="preserve">. 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 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სახდელისაგან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გადაწყვიტონ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სააღსრულებო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დაწესებულებებმა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შეწყვიტონ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მიკუთვნებული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</w:t>
      </w:r>
      <w:r>
        <w:rPr>
          <w:rFonts w:ascii="Sylfaen" w:hAnsi="Sylfaen" w:cs="Sylfaen"/>
        </w:rPr>
        <w:t>.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</w:t>
      </w:r>
      <w:r>
        <w:rPr>
          <w:rFonts w:ascii="Sylfaen" w:hAnsi="Sylfaen" w:cs="Sylfaen"/>
        </w:rPr>
        <w:t>ტი</w:t>
      </w:r>
      <w:r>
        <w:rPr>
          <w:rFonts w:ascii="Sylfaen" w:hAnsi="Sylfaen" w:cs="Sylfaen"/>
        </w:rPr>
        <w:t xml:space="preserve">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>.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№6394-I</w:t>
      </w:r>
      <w:r>
        <w:rPr>
          <w:rFonts w:ascii="Sylfaen" w:hAnsi="Sylfaen" w:cs="Sylfaen"/>
        </w:rPr>
        <w:t>ს</w:t>
      </w:r>
    </w:p>
    <w:p w:rsidR="00000000" w:rsidRDefault="00A12835">
      <w:pPr>
        <w:pStyle w:val="Normal0"/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num w:numId="1" w16cid:durableId="99807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2835"/>
    <w:rsid w:val="00A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widowControl w:val="0"/>
      <w:spacing w:before="100" w:after="100"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ind w:firstLine="283"/>
    </w:pPr>
    <w:rPr>
      <w:rFonts w:ascii="Sylfaen" w:hAnsi="Sylfaen" w:cs="Sylfaen"/>
      <w:b/>
      <w:bCs/>
      <w:sz w:val="22"/>
      <w:szCs w:val="22"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line="240" w:lineRule="exact"/>
      <w:ind w:left="850" w:hanging="85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1"/>
      </w:numPr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satauri2">
    <w:name w:val="satauri2"/>
    <w:basedOn w:val="Normal"/>
    <w:uiPriority w:val="99"/>
    <w:pPr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character" w:customStyle="1" w:styleId="CharChar1">
    <w:name w:val="Char Char1"/>
    <w:basedOn w:val="DefaultParagraphFont"/>
    <w:uiPriority w:val="99"/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">
    <w:name w:val="Cha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