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საკონსულო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ტრადიციებს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არადიპლომატიურ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გამოეყოფა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დირექტივებს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მეთოდოლოგიურ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(02.05.2014. N2377)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1963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ადაიხდევინება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სექციამ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იპლომატიურ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მივლენილმა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წარგზავნილმა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იზრუნონ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იმიჯის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1963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10.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დამკვიდრებული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ტრადიციებს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4138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დაწესებულებები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დაწესებულებები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იხსნება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გახსნის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ხელმძღვანელები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განთავისუფლება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1.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მივლინებით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წარგზავნისათვის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მიქელაძის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(26.12.2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№4140)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ეგზეკვატურის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ეგზეკვატურის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დანიშვნა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მიზანშეუწონლობის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კოორდინაცია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ფუნქციები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ფუნქციები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ტურიზმისა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დასაბრუნებელი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მიგრაციასთან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pStyle w:val="abzacixm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de-AT" w:eastAsia="de-AT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; (29.05.2014. N2481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(29.05.2014. N2481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ფუნქციები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მიგრაციისა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საადვოკატო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სათვისტომოებისა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თვალყური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ბანაკში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დარწმუ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გამოიხატოს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2377)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გადმოსვენებასთან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მოგვარებას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კრიზისული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ტექნოგენურ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გართულებასთან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ტურიზმისა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ხელშეწყობა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ტურიზმისა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გაღრმავების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დაახლოებას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მეგობრული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შემოვლა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2377)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კომენდაცია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2377)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მონახულებას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ზედამხედველობა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ლეგალიზაცია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გაცემა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დასაბრუნებელი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გაცემა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დასაბრუნებელ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დასაბრუნებელი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AcadNusx" w:hAnsi="AcadNusx" w:cs="AcadNusx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413</w:t>
      </w:r>
      <w:r>
        <w:rPr>
          <w:rFonts w:ascii="Sylfaen" w:hAnsi="Sylfaen" w:cs="Sylfaen"/>
          <w:sz w:val="20"/>
          <w:szCs w:val="20"/>
          <w:lang w:val="ka-GE" w:eastAsia="ka-GE"/>
        </w:rPr>
        <w:t>8)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გაწევა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ფოტოსურათზე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24 .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ფუნქციები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ფარგლები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კონსული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კონსულის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ხელმძღვანელობით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გახსნა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კონსულის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</w:t>
      </w:r>
      <w:r>
        <w:rPr>
          <w:rFonts w:ascii="Sylfaen" w:hAnsi="Sylfaen" w:cs="Sylfaen"/>
          <w:sz w:val="24"/>
          <w:szCs w:val="24"/>
          <w:lang w:val="de-AT" w:eastAsia="de-AT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de-AT" w:eastAsia="de-AT"/>
        </w:rPr>
        <w:t xml:space="preserve">1963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de-AT" w:eastAsia="de-AT"/>
        </w:rPr>
        <w:t xml:space="preserve">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hAnsi="Sylfaen" w:cs="Sylfaen"/>
          <w:sz w:val="24"/>
          <w:szCs w:val="24"/>
          <w:lang w:val="de-AT" w:eastAsia="de-AT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2377)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კონსულის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ხელმძღვანელობა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</w:p>
    <w:p w:rsidR="00000000" w:rsidRDefault="00C40A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2377)</w:t>
      </w:r>
    </w:p>
    <w:p w:rsidR="00000000" w:rsidRDefault="00C40A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de-AT" w:eastAsia="de-AT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2377)</w:t>
      </w:r>
    </w:p>
    <w:p w:rsidR="00000000" w:rsidRDefault="00C40A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მოსაკრებელი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მოსაკრებელი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2377)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IX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ბულებანი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1994,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№№21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483). 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სააკაშვილი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40AB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№6438-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</w:p>
    <w:p w:rsidR="00000000" w:rsidRDefault="00C40AB6">
      <w:pPr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</w:abstractNum>
  <w:num w:numId="1" w16cid:durableId="52968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40AB6"/>
    <w:rsid w:val="00C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customStyle="1" w:styleId="sulcvlilebaxml">
    <w:name w:val="sul_cvlileba_xml"/>
    <w:basedOn w:val="Normal"/>
    <w:uiPriority w:val="99"/>
    <w:pPr>
      <w:spacing w:after="0" w:line="240" w:lineRule="auto"/>
      <w:ind w:firstLine="283"/>
    </w:pPr>
    <w:rPr>
      <w:rFonts w:ascii="Sylfaen" w:hAnsi="Sylfaen" w:cs="Sylfaen"/>
      <w:b/>
      <w:bCs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tavixml">
    <w:name w:val="tavi_xml"/>
    <w:basedOn w:val="Normal"/>
    <w:uiPriority w:val="99"/>
    <w:p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tavisataurixml">
    <w:name w:val="tavi_satauri_xml"/>
    <w:basedOn w:val="Normal"/>
    <w:uiPriority w:val="99"/>
    <w:pPr>
      <w:spacing w:after="240" w:line="240" w:lineRule="auto"/>
      <w:jc w:val="center"/>
    </w:pPr>
    <w:rPr>
      <w:rFonts w:ascii="Sylfaen" w:hAnsi="Sylfaen" w:cs="Sylfaen"/>
      <w:b/>
      <w:bCs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customStyle="1" w:styleId="abzacixml0">
    <w:name w:val="abzac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4334</Words>
  <Characters>24710</Characters>
  <Application>Microsoft Office Word</Application>
  <DocSecurity>0</DocSecurity>
  <Lines>205</Lines>
  <Paragraphs>57</Paragraphs>
  <ScaleCrop>false</ScaleCrop>
  <Company/>
  <LinksUpToDate>false</LinksUpToDate>
  <CharactersWithSpaces>28987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