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ნორმატიული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აქტების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</w:rPr>
      </w:pP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1.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№33, 09.11.2009,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200)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</w:t>
      </w:r>
      <w:r>
        <w:rPr>
          <w:rFonts w:ascii="Sylfaen" w:hAnsi="Sylfaen" w:cs="Sylfaen"/>
        </w:rPr>
        <w:t>: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შესასრულებლად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>.“.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15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: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„</w:t>
      </w: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15</w:t>
      </w:r>
      <w:r>
        <w:rPr>
          <w:rFonts w:ascii="Sylfaen" w:hAnsi="Sylfaen" w:cs="Sylfaen"/>
          <w:b/>
          <w:bCs/>
          <w:position w:val="12"/>
        </w:rPr>
        <w:t>1</w:t>
      </w:r>
      <w:r>
        <w:rPr>
          <w:rFonts w:ascii="Sylfaen" w:hAnsi="Sylfaen" w:cs="Sylfaen"/>
          <w:b/>
          <w:bCs/>
        </w:rPr>
        <w:t xml:space="preserve">. </w:t>
      </w:r>
      <w:r>
        <w:rPr>
          <w:rFonts w:ascii="Sylfaen" w:hAnsi="Sylfaen" w:cs="Sylfaen"/>
          <w:b/>
          <w:bCs/>
        </w:rPr>
        <w:t>ნორმატიული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აქტის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პროექტის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შედგენის</w:t>
      </w:r>
      <w:r>
        <w:rPr>
          <w:rFonts w:ascii="Sylfaen" w:hAnsi="Sylfaen" w:cs="Sylfaen"/>
          <w:b/>
          <w:bCs/>
        </w:rPr>
        <w:t xml:space="preserve">, </w:t>
      </w:r>
      <w:r>
        <w:rPr>
          <w:rFonts w:ascii="Sylfaen" w:hAnsi="Sylfaen" w:cs="Sylfaen"/>
          <w:b/>
          <w:bCs/>
        </w:rPr>
        <w:t>ნორმატიული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აქტის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მიღების</w:t>
      </w:r>
      <w:r>
        <w:rPr>
          <w:rFonts w:ascii="Sylfaen" w:hAnsi="Sylfaen" w:cs="Sylfaen"/>
          <w:b/>
          <w:bCs/>
        </w:rPr>
        <w:t xml:space="preserve"> (</w:t>
      </w:r>
      <w:r>
        <w:rPr>
          <w:rFonts w:ascii="Sylfaen" w:hAnsi="Sylfaen" w:cs="Sylfaen"/>
          <w:b/>
          <w:bCs/>
        </w:rPr>
        <w:t>გამოცემის</w:t>
      </w:r>
      <w:r>
        <w:rPr>
          <w:rFonts w:ascii="Sylfaen" w:hAnsi="Sylfaen" w:cs="Sylfaen"/>
          <w:b/>
          <w:bCs/>
        </w:rPr>
        <w:t xml:space="preserve">), </w:t>
      </w:r>
      <w:r>
        <w:rPr>
          <w:rFonts w:ascii="Sylfaen" w:hAnsi="Sylfaen" w:cs="Sylfaen"/>
          <w:b/>
          <w:bCs/>
        </w:rPr>
        <w:t>გაგზავნისა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გადაცემის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წესი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გამოცემის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გამოცემა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გაგზავნა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ავტომატური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>.“.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-19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>რეზიდენტის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საარჩევნო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</w:t>
      </w:r>
      <w:r>
        <w:rPr>
          <w:rFonts w:ascii="Sylfaen" w:hAnsi="Sylfaen" w:cs="Sylfaen"/>
        </w:rPr>
        <w:t>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>.“;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</w:t>
      </w:r>
      <w:r>
        <w:rPr>
          <w:rFonts w:ascii="Sylfaen" w:hAnsi="Sylfaen" w:cs="Sylfaen"/>
        </w:rPr>
        <w:t>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გაეგზავნოს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ხელმოწერიდან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.“. 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-20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„7. </w:t>
      </w:r>
      <w:r>
        <w:rPr>
          <w:rFonts w:ascii="Sylfaen" w:hAnsi="Sylfaen" w:cs="Sylfaen"/>
        </w:rPr>
        <w:t>ნორმატიულ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კერძოდ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სათაური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საქა</w:t>
      </w:r>
      <w:r>
        <w:rPr>
          <w:rFonts w:ascii="Sylfaen" w:hAnsi="Sylfaen" w:cs="Sylfaen"/>
        </w:rPr>
        <w:t>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ვებგვერდი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კოდი</w:t>
      </w:r>
      <w:r>
        <w:rPr>
          <w:rFonts w:ascii="Sylfaen" w:hAnsi="Sylfaen" w:cs="Sylfaen"/>
        </w:rPr>
        <w:t>.“.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 27-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2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>: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„2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-19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გამოსაქვეყნებლად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გამომცემი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ხელმოწერიდან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.“. 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</w:t>
      </w:r>
      <w:r>
        <w:rPr>
          <w:rFonts w:ascii="Sylfaen" w:hAnsi="Sylfaen" w:cs="Sylfaen"/>
          <w:b/>
          <w:bCs/>
        </w:rPr>
        <w:t>ლი</w:t>
      </w:r>
      <w:r>
        <w:rPr>
          <w:rFonts w:ascii="Sylfaen" w:hAnsi="Sylfaen" w:cs="Sylfaen"/>
          <w:b/>
          <w:bCs/>
        </w:rPr>
        <w:t xml:space="preserve"> 2</w:t>
      </w:r>
    </w:p>
    <w:p w:rsidR="00000000" w:rsidRDefault="004274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1. 2012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ოქტომბრამდე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გამოცემის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ორგანომ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გამოცემა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გაგზავნა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შეხედულების</w:t>
      </w:r>
      <w:r>
        <w:rPr>
          <w:rFonts w:ascii="Sylfaen" w:hAnsi="Sylfaen" w:cs="Sylfaen"/>
        </w:rPr>
        <w:t>ამებრ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ავტომატური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2012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ოქტომბრის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გამოცემის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გამოცემა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გაგზავნა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ავტომატური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(22.06.2012 N 6553)</w:t>
      </w:r>
    </w:p>
    <w:p w:rsidR="00000000" w:rsidRDefault="004274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2012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ოქტომბრამდე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ნორმატიულ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გამოცემას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გაგზავნას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ავტომატური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ნორმატიულ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უგზავნის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ხელმოწერიდან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ბეჭდვითი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ვერსიასთან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აკინძულს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ბეჭდითა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</w:t>
      </w:r>
      <w:r>
        <w:rPr>
          <w:rFonts w:ascii="Sylfaen" w:hAnsi="Sylfaen" w:cs="Sylfaen"/>
        </w:rPr>
        <w:t>წმებულს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(22.06.2012 N 6553)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მინისტრმა</w:t>
      </w:r>
      <w:r>
        <w:rPr>
          <w:rFonts w:ascii="Sylfaen" w:hAnsi="Sylfaen" w:cs="Sylfaen"/>
        </w:rPr>
        <w:t xml:space="preserve"> 2012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27-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ავტომატური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გამოცემის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გაგზავნის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>.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</w:t>
      </w:r>
      <w:r>
        <w:rPr>
          <w:rFonts w:ascii="Sylfaen" w:hAnsi="Sylfaen" w:cs="Sylfaen"/>
        </w:rPr>
        <w:t>ვეყნებისთანავე</w:t>
      </w:r>
      <w:r>
        <w:rPr>
          <w:rFonts w:ascii="Sylfaen" w:hAnsi="Sylfaen" w:cs="Sylfaen"/>
        </w:rPr>
        <w:t>.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.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rPr>
          <w:rFonts w:ascii="Sylfaen" w:hAnsi="Sylfaen" w:cs="Sylfaen"/>
        </w:rPr>
      </w:pP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20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:rsidR="00000000" w:rsidRDefault="0042740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№5545-</w:t>
      </w:r>
      <w:r>
        <w:rPr>
          <w:rFonts w:ascii="Sylfaen" w:hAnsi="Sylfaen" w:cs="Sylfaen"/>
        </w:rPr>
        <w:t>რს</w:t>
      </w:r>
      <w:r>
        <w:rPr>
          <w:rFonts w:ascii="Sylfaen" w:hAnsi="Sylfaen" w:cs="Sylfaen"/>
        </w:rPr>
        <w:t xml:space="preserve"> </w:t>
      </w:r>
    </w:p>
    <w:p w:rsidR="00000000" w:rsidRDefault="0042740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Literaturuly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PLiteraturul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Dumbadz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Grotes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_dum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PAcadem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num w:numId="1" w16cid:durableId="118517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27402"/>
    <w:rsid w:val="0042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360" w:after="120"/>
      <w:jc w:val="center"/>
      <w:outlineLvl w:val="0"/>
    </w:pPr>
    <w:rPr>
      <w:rFonts w:ascii="SPLiteraturuly MT" w:hAnsi="SPLiteraturuly MT" w:cs="SPLiteraturuly MT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40" w:line="240" w:lineRule="atLeast"/>
      <w:jc w:val="center"/>
      <w:outlineLvl w:val="1"/>
    </w:pPr>
    <w:rPr>
      <w:rFonts w:ascii="SPLiteraturuly" w:hAnsi="SPLiteraturuly" w:cs="SPLiteraturuly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line="240" w:lineRule="atLeast"/>
      <w:jc w:val="center"/>
      <w:outlineLvl w:val="2"/>
    </w:pPr>
    <w:rPr>
      <w:rFonts w:ascii="SPLiteraturuly MT" w:hAnsi="SPLiteraturuly MT" w:cs="SPLiteraturuly MT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tabs>
        <w:tab w:val="left" w:pos="720"/>
      </w:tabs>
      <w:spacing w:before="240"/>
      <w:outlineLvl w:val="5"/>
    </w:pPr>
    <w:rPr>
      <w:rFonts w:ascii="SPLiteraturuly" w:hAnsi="SPLiteraturuly" w:cs="SPLiteraturuly"/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PlainText">
    <w:name w:val="Plain Text"/>
    <w:basedOn w:val="Normal"/>
    <w:link w:val="PlainTextChar"/>
    <w:uiPriority w:val="99"/>
    <w:pPr>
      <w:pageBreakBefore/>
      <w:spacing w:before="120"/>
      <w:jc w:val="center"/>
    </w:pPr>
    <w:rPr>
      <w:rFonts w:ascii="SPLiteraturuly" w:hAnsi="SPLiteraturuly" w:cs="SPLiteraturuly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parlamdrst">
    <w:name w:val="parlamdrst"/>
    <w:basedOn w:val="PlainText"/>
    <w:uiPriority w:val="99"/>
    <w:pPr>
      <w:pageBreakBefore w:val="0"/>
      <w:tabs>
        <w:tab w:val="left" w:pos="283"/>
      </w:tabs>
      <w:spacing w:before="0"/>
      <w:ind w:firstLine="284"/>
      <w:jc w:val="both"/>
    </w:pPr>
    <w:rPr>
      <w:i w:val="0"/>
      <w:iCs w:val="0"/>
      <w:sz w:val="22"/>
      <w:szCs w:val="22"/>
    </w:rPr>
  </w:style>
  <w:style w:type="paragraph" w:customStyle="1" w:styleId="Style1">
    <w:name w:val="Style1"/>
    <w:basedOn w:val="parlamdrst"/>
    <w:uiPriority w:val="99"/>
    <w:pPr>
      <w:ind w:firstLine="283"/>
    </w:pPr>
  </w:style>
  <w:style w:type="paragraph" w:customStyle="1" w:styleId="satauri">
    <w:name w:val="satauri"/>
    <w:basedOn w:val="parlamdrst"/>
    <w:uiPriority w:val="99"/>
    <w:pPr>
      <w:ind w:firstLine="0"/>
      <w:jc w:val="center"/>
    </w:pPr>
    <w:rPr>
      <w:rFonts w:ascii="SPLiteraturuly MT" w:hAnsi="SPLiteraturuly MT" w:cs="SPLiteraturuly MT"/>
      <w:b/>
      <w:bCs/>
      <w:sz w:val="26"/>
      <w:szCs w:val="26"/>
    </w:rPr>
  </w:style>
  <w:style w:type="paragraph" w:customStyle="1" w:styleId="muxliparl">
    <w:name w:val="muxli_parl"/>
    <w:basedOn w:val="parlamdrst"/>
    <w:uiPriority w:val="99"/>
    <w:pPr>
      <w:spacing w:before="240"/>
      <w:ind w:left="283" w:hanging="283"/>
      <w:jc w:val="left"/>
    </w:pPr>
    <w:rPr>
      <w:rFonts w:ascii="SPDumbadze" w:hAnsi="SPDumbadze" w:cs="SPDumbadze"/>
      <w:b/>
      <w:bCs/>
    </w:rPr>
  </w:style>
  <w:style w:type="paragraph" w:customStyle="1" w:styleId="chveulebrivi">
    <w:name w:val="chveulebrivi"/>
    <w:basedOn w:val="PlainText"/>
    <w:uiPriority w:val="99"/>
    <w:pPr>
      <w:pageBreakBefore w:val="0"/>
      <w:spacing w:before="0"/>
      <w:ind w:firstLine="284"/>
      <w:jc w:val="both"/>
    </w:pPr>
    <w:rPr>
      <w:i w:val="0"/>
      <w:iCs w:val="0"/>
    </w:rPr>
  </w:style>
  <w:style w:type="paragraph" w:customStyle="1" w:styleId="data">
    <w:name w:val="data"/>
    <w:basedOn w:val="chveulebrivi"/>
    <w:uiPriority w:val="99"/>
    <w:pPr>
      <w:tabs>
        <w:tab w:val="left" w:pos="720"/>
      </w:tabs>
      <w:ind w:firstLine="0"/>
    </w:pPr>
    <w:rPr>
      <w:i/>
      <w:iCs/>
    </w:rPr>
  </w:style>
  <w:style w:type="paragraph" w:customStyle="1" w:styleId="petiti">
    <w:name w:val="petiti"/>
    <w:basedOn w:val="chveulebrivi"/>
    <w:uiPriority w:val="99"/>
    <w:pPr>
      <w:widowControl w:val="0"/>
      <w:tabs>
        <w:tab w:val="left" w:pos="1718"/>
      </w:tabs>
      <w:spacing w:before="120"/>
      <w:ind w:left="284" w:firstLine="0"/>
    </w:pPr>
    <w:rPr>
      <w:i/>
      <w:iCs/>
      <w:sz w:val="17"/>
      <w:szCs w:val="17"/>
    </w:rPr>
  </w:style>
  <w:style w:type="paragraph" w:customStyle="1" w:styleId="prezident">
    <w:name w:val="prezident"/>
    <w:basedOn w:val="chveulebrivi"/>
    <w:uiPriority w:val="99"/>
    <w:pPr>
      <w:tabs>
        <w:tab w:val="left" w:pos="720"/>
      </w:tabs>
      <w:ind w:firstLine="0"/>
    </w:pPr>
  </w:style>
  <w:style w:type="paragraph" w:customStyle="1" w:styleId="chveulebrivi-wigni">
    <w:name w:val="chveulebrivi-wigni"/>
    <w:basedOn w:val="PlainText"/>
    <w:uiPriority w:val="99"/>
    <w:pPr>
      <w:pageBreakBefore w:val="0"/>
      <w:spacing w:before="0"/>
      <w:ind w:firstLine="454"/>
      <w:jc w:val="both"/>
    </w:pPr>
    <w:rPr>
      <w:i w:val="0"/>
      <w:iCs w:val="0"/>
    </w:rPr>
  </w:style>
  <w:style w:type="paragraph" w:customStyle="1" w:styleId="abzacixml">
    <w:name w:val="abzaci_xml"/>
    <w:basedOn w:val="PlainText"/>
    <w:uiPriority w:val="99"/>
    <w:pPr>
      <w:pageBreakBefore w:val="0"/>
      <w:spacing w:before="0"/>
      <w:ind w:firstLine="283"/>
      <w:jc w:val="both"/>
    </w:pPr>
    <w:rPr>
      <w:rFonts w:ascii="Sylfaen" w:hAnsi="Sylfaen" w:cs="Sylfaen"/>
      <w:i w:val="0"/>
      <w:iCs w:val="0"/>
      <w:sz w:val="22"/>
      <w:szCs w:val="22"/>
    </w:rPr>
  </w:style>
  <w:style w:type="paragraph" w:customStyle="1" w:styleId="karisataurixml">
    <w:name w:val="kari_satauri_xml"/>
    <w:basedOn w:val="abzacixml"/>
    <w:uiPriority w:val="99"/>
  </w:style>
  <w:style w:type="paragraph" w:customStyle="1" w:styleId="petitixml">
    <w:name w:val="petiti_xml"/>
    <w:basedOn w:val="abzacixml"/>
    <w:uiPriority w:val="99"/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sulcvlilebaxml">
    <w:name w:val="sul_cvlileba_xml"/>
    <w:basedOn w:val="sataurixml"/>
    <w:uiPriority w:val="99"/>
    <w:pPr>
      <w:jc w:val="left"/>
    </w:pPr>
    <w:rPr>
      <w:sz w:val="22"/>
      <w:szCs w:val="22"/>
    </w:rPr>
  </w:style>
  <w:style w:type="paragraph" w:customStyle="1" w:styleId="ckhrilixml">
    <w:name w:val="ckhrili_xml"/>
    <w:basedOn w:val="abzacixml"/>
    <w:uiPriority w:val="99"/>
    <w:pPr>
      <w:ind w:firstLine="0"/>
      <w:jc w:val="left"/>
    </w:pPr>
    <w:rPr>
      <w:sz w:val="18"/>
      <w:szCs w:val="18"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</w:rPr>
  </w:style>
  <w:style w:type="paragraph" w:customStyle="1" w:styleId="kodixml">
    <w:name w:val="kodi_xml"/>
    <w:basedOn w:val="abzacixml"/>
    <w:uiPriority w:val="99"/>
    <w:rPr>
      <w:sz w:val="20"/>
      <w:szCs w:val="20"/>
    </w:rPr>
  </w:style>
  <w:style w:type="paragraph" w:customStyle="1" w:styleId="tarigixml">
    <w:name w:val="tarigi_xml"/>
    <w:basedOn w:val="abzacixml"/>
    <w:uiPriority w:val="99"/>
    <w:pPr>
      <w:spacing w:before="120" w:after="120"/>
      <w:ind w:firstLine="284"/>
      <w:jc w:val="center"/>
    </w:pPr>
    <w:rPr>
      <w:b/>
      <w:bCs/>
    </w:rPr>
  </w:style>
  <w:style w:type="paragraph" w:customStyle="1" w:styleId="saxexml">
    <w:name w:val="saxe_xml"/>
    <w:basedOn w:val="abzacixml"/>
    <w:uiPriority w:val="99"/>
  </w:style>
  <w:style w:type="paragraph" w:styleId="Title">
    <w:name w:val="Title"/>
    <w:basedOn w:val="Normal"/>
    <w:next w:val="Normal"/>
    <w:link w:val="TitleChar"/>
    <w:uiPriority w:val="99"/>
    <w:qFormat/>
    <w:pPr>
      <w:tabs>
        <w:tab w:val="left" w:pos="720"/>
      </w:tabs>
      <w:spacing w:before="6000" w:after="60"/>
      <w:jc w:val="center"/>
    </w:pPr>
    <w:rPr>
      <w:rFonts w:ascii="SPGrotesk" w:hAnsi="SPGrotesk" w:cs="SPGrotesk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kanoni">
    <w:name w:val="kanoni"/>
    <w:basedOn w:val="Title"/>
    <w:uiPriority w:val="99"/>
    <w:pPr>
      <w:tabs>
        <w:tab w:val="clear" w:pos="720"/>
      </w:tabs>
      <w:spacing w:before="360" w:after="120"/>
    </w:pPr>
    <w:rPr>
      <w:rFonts w:ascii="Geo_dumM" w:hAnsi="Geo_dumM" w:cs="Geo_dumM"/>
      <w:sz w:val="24"/>
      <w:szCs w:val="24"/>
    </w:rPr>
  </w:style>
  <w:style w:type="paragraph" w:styleId="TOC1">
    <w:name w:val="toc 1"/>
    <w:basedOn w:val="Normal"/>
    <w:next w:val="Normal"/>
    <w:uiPriority w:val="99"/>
    <w:pPr>
      <w:jc w:val="both"/>
    </w:pPr>
    <w:rPr>
      <w:rFonts w:ascii="SPLiteraturuly" w:hAnsi="SPLiteraturuly" w:cs="SPLiteraturuly"/>
    </w:rPr>
  </w:style>
  <w:style w:type="paragraph" w:styleId="TOC2">
    <w:name w:val="toc 2"/>
    <w:basedOn w:val="Normal"/>
    <w:next w:val="Normal"/>
    <w:uiPriority w:val="99"/>
    <w:pPr>
      <w:ind w:left="240"/>
      <w:jc w:val="both"/>
    </w:pPr>
    <w:rPr>
      <w:rFonts w:ascii="SPLiteraturuly" w:hAnsi="SPLiteraturuly" w:cs="SPLiteraturuly"/>
    </w:rPr>
  </w:style>
  <w:style w:type="paragraph" w:styleId="TOC3">
    <w:name w:val="toc 3"/>
    <w:basedOn w:val="Normal"/>
    <w:next w:val="Normal"/>
    <w:uiPriority w:val="99"/>
    <w:pPr>
      <w:ind w:left="480"/>
      <w:jc w:val="both"/>
    </w:pPr>
    <w:rPr>
      <w:rFonts w:ascii="SPLiteraturuly" w:hAnsi="SPLiteraturuly" w:cs="SPLiteraturuly"/>
    </w:rPr>
  </w:style>
  <w:style w:type="paragraph" w:styleId="TOC4">
    <w:name w:val="toc 4"/>
    <w:basedOn w:val="Normal"/>
    <w:next w:val="Normal"/>
    <w:uiPriority w:val="99"/>
    <w:pPr>
      <w:spacing w:after="240"/>
      <w:ind w:left="720"/>
      <w:jc w:val="center"/>
    </w:pPr>
    <w:rPr>
      <w:rFonts w:ascii="SPLiteraturuly MT" w:hAnsi="SPLiteraturuly MT" w:cs="SPLiteraturuly MT"/>
      <w:b/>
      <w:bCs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720"/>
      </w:tabs>
      <w:jc w:val="both"/>
    </w:pPr>
    <w:rPr>
      <w:rFonts w:ascii="SPLiteraturuly" w:hAnsi="SPLiteraturuly" w:cs="SPLiteraturuly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SPAcademi" w:hAnsi="SPAcademi" w:cs="SPAcadem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240" w:lineRule="atLeast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kitxva">
    <w:name w:val="kitxva"/>
    <w:basedOn w:val="Normal"/>
    <w:uiPriority w:val="99"/>
    <w:pPr>
      <w:tabs>
        <w:tab w:val="left" w:pos="240"/>
      </w:tabs>
      <w:spacing w:after="113"/>
      <w:ind w:firstLine="284"/>
      <w:jc w:val="both"/>
    </w:pPr>
    <w:rPr>
      <w:rFonts w:ascii="SPLiteraturuly" w:hAnsi="SPLiteraturuly" w:cs="SPLiteraturuly"/>
      <w:b/>
      <w:bCs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pasuxi">
    <w:name w:val="pasuxi"/>
    <w:basedOn w:val="Normal"/>
    <w:uiPriority w:val="99"/>
    <w:pPr>
      <w:ind w:left="1134" w:hanging="567"/>
      <w:jc w:val="both"/>
    </w:pPr>
    <w:rPr>
      <w:rFonts w:ascii="SPLiteraturuly" w:hAnsi="SPLiteraturuly" w:cs="SPLiteraturuly"/>
    </w:rPr>
  </w:style>
  <w:style w:type="paragraph" w:customStyle="1" w:styleId="satauri2">
    <w:name w:val="satauri2"/>
    <w:basedOn w:val="Normal"/>
    <w:uiPriority w:val="99"/>
    <w:pPr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tarigi">
    <w:name w:val="tarigi"/>
    <w:basedOn w:val="Normal"/>
    <w:uiPriority w:val="99"/>
  </w:style>
  <w:style w:type="paragraph" w:customStyle="1" w:styleId="muxlixml">
    <w:name w:val="muxli_xml"/>
    <w:basedOn w:val="Normal"/>
    <w:uiPriority w:val="99"/>
    <w:pPr>
      <w:keepNext/>
      <w:keepLines/>
      <w:tabs>
        <w:tab w:val="left" w:pos="283"/>
      </w:tabs>
      <w:spacing w:line="360" w:lineRule="auto"/>
      <w:ind w:firstLine="720"/>
      <w:jc w:val="both"/>
    </w:pPr>
    <w:rPr>
      <w:rFonts w:ascii="Sylfaen" w:hAnsi="Sylfaen" w:cs="Sylfaen"/>
      <w:sz w:val="28"/>
      <w:szCs w:val="28"/>
    </w:rPr>
  </w:style>
  <w:style w:type="paragraph" w:customStyle="1" w:styleId="karixml">
    <w:name w:val="kari_xml"/>
    <w:basedOn w:val="muxlixml"/>
    <w:uiPriority w:val="99"/>
    <w:rPr>
      <w:b/>
      <w:bCs/>
    </w:rPr>
  </w:style>
  <w:style w:type="paragraph" w:customStyle="1" w:styleId="tavisataurixml">
    <w:name w:val="tavi_satauri_xml"/>
    <w:basedOn w:val="Normal"/>
    <w:uiPriority w:val="99"/>
    <w:rPr>
      <w:rFonts w:ascii="Sylfaen" w:hAnsi="Sylfaen" w:cs="Sylfaen"/>
    </w:rPr>
  </w:style>
  <w:style w:type="paragraph" w:customStyle="1" w:styleId="tavixml">
    <w:name w:val="tavi_xml"/>
    <w:basedOn w:val="Normal"/>
    <w:uiPriority w:val="99"/>
    <w:pPr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cignixml">
    <w:name w:val="cigni_xml"/>
    <w:basedOn w:val="Normal"/>
    <w:uiPriority w:val="99"/>
    <w:pPr>
      <w:tabs>
        <w:tab w:val="left" w:pos="283"/>
      </w:tabs>
    </w:pPr>
    <w:rPr>
      <w:rFonts w:ascii="Sylfaen" w:hAnsi="Sylfaen" w:cs="Sylfaen"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line="240" w:lineRule="exact"/>
      <w:ind w:left="850" w:hanging="85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StylecxrilixmlSylfaen">
    <w:name w:val="Style cxrili_xml + Sylfaen"/>
    <w:basedOn w:val="Normal"/>
    <w:uiPriority w:val="99"/>
    <w:rPr>
      <w:rFonts w:ascii="Sylfaen" w:hAnsi="Sylfaen" w:cs="Sylfaen"/>
      <w:sz w:val="20"/>
      <w:szCs w:val="20"/>
    </w:rPr>
  </w:style>
  <w:style w:type="paragraph" w:customStyle="1" w:styleId="adgilixml">
    <w:name w:val="adgili_xml"/>
    <w:basedOn w:val="Normal"/>
    <w:uiPriority w:val="99"/>
    <w:pPr>
      <w:spacing w:before="120" w:after="120"/>
      <w:ind w:firstLine="284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mimgebixml">
    <w:name w:val="mimgebi_xml"/>
    <w:basedOn w:val="Normal"/>
    <w:uiPriority w:val="99"/>
    <w:pPr>
      <w:jc w:val="center"/>
    </w:pPr>
    <w:rPr>
      <w:rFonts w:ascii="Sylfaen" w:hAnsi="Sylfaen" w:cs="Sylfae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harChar12">
    <w:name w:val="Char Char12"/>
    <w:basedOn w:val="DefaultParagraphFont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CharChar11">
    <w:name w:val="Char Char11"/>
    <w:basedOn w:val="DefaultParagraphFont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harChar10">
    <w:name w:val="Char Char10"/>
    <w:basedOn w:val="DefaultParagraphFont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CharChar9">
    <w:name w:val="Char Char9"/>
    <w:basedOn w:val="DefaultParagraphFont"/>
    <w:uiPriority w:val="99"/>
    <w:rPr>
      <w:rFonts w:ascii="Calibri" w:hAnsi="Calibri" w:cs="Calibri"/>
      <w:b/>
      <w:bCs/>
    </w:rPr>
  </w:style>
  <w:style w:type="character" w:customStyle="1" w:styleId="CharChar8">
    <w:name w:val="Char Char8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</w:style>
  <w:style w:type="character" w:customStyle="1" w:styleId="CharChar7">
    <w:name w:val="Char Char7"/>
    <w:basedOn w:val="DefaultParagraphFont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CharChar6">
    <w:name w:val="Char Char6"/>
    <w:basedOn w:val="DefaultParagraphFont"/>
    <w:uiPriority w:val="99"/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character" w:customStyle="1" w:styleId="CharChar5">
    <w:name w:val="Char Char5"/>
    <w:basedOn w:val="DefaultParagraphFont"/>
    <w:uiPriority w:val="99"/>
    <w:rPr>
      <w:sz w:val="20"/>
      <w:szCs w:val="20"/>
    </w:rPr>
  </w:style>
  <w:style w:type="character" w:customStyle="1" w:styleId="CharChar4">
    <w:name w:val="Char Char4"/>
    <w:basedOn w:val="DefaultParagraphFont"/>
    <w:uiPriority w:val="99"/>
  </w:style>
  <w:style w:type="character" w:customStyle="1" w:styleId="CharChar3">
    <w:name w:val="Char Char3"/>
    <w:basedOn w:val="DefaultParagraphFont"/>
    <w:uiPriority w:val="99"/>
  </w:style>
  <w:style w:type="character" w:customStyle="1" w:styleId="CharChar2">
    <w:name w:val="Char Char2"/>
    <w:basedOn w:val="DefaultParagraphFont"/>
    <w:uiPriority w:val="99"/>
  </w:style>
  <w:style w:type="character" w:customStyle="1" w:styleId="CharChar1">
    <w:name w:val="Char Char1"/>
    <w:basedOn w:val="DefaultParagraphFont"/>
    <w:uiPriority w:val="99"/>
  </w:style>
  <w:style w:type="character" w:customStyle="1" w:styleId="StylecxrilixmlSylfaenChar">
    <w:name w:val="Style cxrili_xml + Sylfaen Char"/>
    <w:basedOn w:val="DefaultParagraphFont"/>
    <w:uiPriority w:val="99"/>
    <w:rPr>
      <w:rFonts w:ascii="Sylfaen" w:hAnsi="Sylfaen" w:cs="Sylfaen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sz w:val="22"/>
      <w:szCs w:val="22"/>
    </w:rPr>
  </w:style>
  <w:style w:type="character" w:customStyle="1" w:styleId="CharChar">
    <w:name w:val="Char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