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22561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14:paraId="26E0AA0B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14:paraId="13E83D7E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სავაჭრო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-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სამრეწველო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პალატის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14:paraId="4F8BC7EA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40813E3D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სამრეწველო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393D8905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08BE5D03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სავაჭრო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სამრეწველო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სტატუსი</w:t>
      </w:r>
    </w:p>
    <w:p w14:paraId="0A02E78D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სამრეწველო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კორპორაცია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აერთიანებს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რეგიონულ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სამრეწველო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2C79CD30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ნებაყოფლობით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რეგისტრირდებიან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ბიზნესსუბიექტების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ბიზნესსუბიექტები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სამრეწველო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ავტომატურად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არმოშობს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საწევრო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შენატანის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საწევრო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შენატანი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ნებაყოფლობით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გადაიხადონ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57C1706B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3302ABBD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08833699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2CD24341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პრინციპები</w:t>
      </w:r>
    </w:p>
    <w:p w14:paraId="196AECE2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კონსტიტუციისა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360E4C87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5D9ABA3F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გადაეცეს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13E7EF9C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სამრეწველო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ერთმანეთის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ებულებებზე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43DFFCA7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02EC695D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მიზნები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ფუნქციები</w:t>
      </w:r>
    </w:p>
    <w:p w14:paraId="4292CE55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შეუწყოს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ზრდას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მხარდაჭერით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1502598B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1631D8A1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საკონსულტაციო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115055A2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ამაღლების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სწავლების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51F1E3B8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ბიზნესსუბიექტების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ბიზნესსუბიექტები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47B9E8B4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ექსპორტის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42211995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გამოგონების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მოდელის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სამრეწველო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ნიმუშის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საფირმ</w:t>
      </w:r>
      <w:r>
        <w:rPr>
          <w:rFonts w:ascii="Sylfaen" w:eastAsia="Times New Roman" w:hAnsi="Sylfaen" w:cs="Sylfaen"/>
          <w:sz w:val="24"/>
          <w:szCs w:val="24"/>
          <w:lang w:val="en-US"/>
        </w:rPr>
        <w:t>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სახელწოდებისა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დაპატენტებასთან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0ADF3AF4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საქონლისა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გამოფენების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წრეთა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შეხვედრების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გამართვა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30E5639B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>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ხელშემწყობი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6B2AF74A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მთარგმნელობითი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6A5DC4BF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>ათთვის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2A51BEC3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ბანკების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1D0FFD7B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ბიზნესგეგმების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მომზადებაში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097C2BD5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7BAA3D2D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წარმოშობილი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მოგვარების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4CF9ED65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>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ამოცანების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2B1513E2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ნებაყოფლობით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განაცხადის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62A896EC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საქონლისა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ხარისხობრივ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ექსპერტიზას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78B2C30F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სანავსადგურო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დამოწმებას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7CF202CB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დამოწმ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6B6218C2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არაპრეფერენციული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დამოწმებას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2D5CC3C9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დამოუკიდებელ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თანამეგობრობის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ქვეყნების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პრეფერენციული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დამოწმებას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5ACFD2DB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პრეფერენციული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GSP-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სერტიფიკატ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დამოწმებას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71D8F76B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>(27.10.2015. N440</w:t>
      </w:r>
      <w:r>
        <w:rPr>
          <w:rFonts w:ascii="Sylfaen" w:hAnsi="Sylfaen" w:cs="Sylfaen"/>
          <w:sz w:val="20"/>
          <w:szCs w:val="20"/>
          <w:lang w:val="ka-GE" w:eastAsia="ka-GE"/>
        </w:rPr>
        <w:t>6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2B98B83C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შტრიხკოდის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1CE0B316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დამცავი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ჰოლოგრამის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73430BEF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6E2DD1D3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ფორსმაჟორული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დამოწმებას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6ED76B2F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(21.04.2017.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666)</w:t>
      </w:r>
    </w:p>
    <w:p w14:paraId="5937DAB1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საწევრო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შენატანის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საწევრო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შენატანი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არადისკრიმინაციული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ხარჯებზე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ორიენტირებული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4ECD9270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3F77C03C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4.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უფლებები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14:paraId="701686B3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2B3A771E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კანონპროექტების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დამოუკიდე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ექსპერტიზა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წინადადებები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7CF87790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დააწესოს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630FBBF5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ააშენოს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6DAA8E87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ეფექტიანად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>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გარიგებები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432AB9CB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წარმოადგინოს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ქვეყნების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ითანამშრომლოს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გახდეს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59267830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გარკვეული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დელეგირების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დააფუძნოს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33DDA24E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მოახდინოს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გარკვეული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დელეგირება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სამრეწველო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გამიჯვნის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58A84E25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სამრეწველო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ერთობლივად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დარგობრივი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დაფუძნების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4BCACA0A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3DB5D15A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5.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ფინანსები</w:t>
      </w:r>
    </w:p>
    <w:p w14:paraId="032D3CDF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7984DBF3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საწევრო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შენატანებისაგან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78F6E82C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შემოწირულებებისაგან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3335CA4F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ნებადართული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შემოსავლებისაგან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319F08F3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3D271A5C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6.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მართვა</w:t>
      </w:r>
    </w:p>
    <w:p w14:paraId="202B0B39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2E5A4E58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597C4821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en-US"/>
        </w:rPr>
        <w:t>);</w:t>
      </w:r>
    </w:p>
    <w:p w14:paraId="0FE802BE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).</w:t>
      </w:r>
    </w:p>
    <w:p w14:paraId="52BDE3F3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59DED291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მოიწვევა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მაინც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5440F717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შემადგენლობიდან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5B541534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დელეგატების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43BE62A7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ესწრება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დელეგატთა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ნახევარზე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79DB76AF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განმსაზღვრელი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პრიორიტეტებზე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სტრატეგიაზე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გარკვეული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7365057E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ასოციაციი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10-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05909E99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ესწრება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შემადგენლობი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ნახევარზე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182115BF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484C02C6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27133D39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კენჭისყრით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4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დამსწრე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დელეგატების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28207EA3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ჰყავს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ვიცე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01A6FF45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ვიცე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ვიცე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წარმართავს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სამრეწველო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ხელმძღვანელები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იმავდროულად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ვიცე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არყოფნის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</w:t>
      </w:r>
      <w:r>
        <w:rPr>
          <w:rFonts w:ascii="Sylfaen" w:eastAsia="Times New Roman" w:hAnsi="Sylfaen" w:cs="Sylfaen"/>
          <w:sz w:val="24"/>
          <w:szCs w:val="24"/>
          <w:lang w:val="en-US"/>
        </w:rPr>
        <w:t>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ვიცე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7E9BBB8D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15.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წარმართავს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გენერალურ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რექტორს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377706FC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16.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6C53D32D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17.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რეორგანიზაცია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ლიკვიდაცია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66D9592F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ab/>
      </w:r>
    </w:p>
    <w:p w14:paraId="3B3F5962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7.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აფხაზეთისა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აჭარის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რესპუბლიკებისა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რეგიონული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სავაჭრო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სამრეწველო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პალატები</w:t>
      </w:r>
    </w:p>
    <w:p w14:paraId="0854E15E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სამრეწველო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კორპორაციები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აერთიანებენ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თავიანთ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3B5681AE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უზრუნველსაყო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სამრეწველო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წარუდგინონ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დაზუსტებული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დაამტკიცოს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სცდება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00B9C256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სამრეწველო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დაფუძნება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საინიციატივო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716113B6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სამრეწველო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343E2F58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სამრეწველო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50AB1C82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ფუნქციონირებდეს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სამრეწველო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4F718363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სამრეწველო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50CA56D6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აფხაზ</w:t>
      </w:r>
      <w:r>
        <w:rPr>
          <w:rFonts w:ascii="Sylfaen" w:eastAsia="Times New Roman" w:hAnsi="Sylfaen" w:cs="Sylfaen"/>
          <w:sz w:val="24"/>
          <w:szCs w:val="24"/>
          <w:lang w:val="en-US"/>
        </w:rPr>
        <w:t>ეთისა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სამრეწველო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თავიანთ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წესდებების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რეგიონულ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სამრეწველო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7D7242D4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იმავდროულად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სამრეწველო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237ABF38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იმავდროულად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სამრეწველო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ნებაყოფლობითი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სამრეწველო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საწე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შენატანს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იხდიან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სამრეწველო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37069917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რეგიონულ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სამრეწველო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საწევრო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შენატანის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შეუძლიათ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132BE7B7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</w:t>
      </w:r>
      <w:r>
        <w:rPr>
          <w:rFonts w:ascii="Sylfaen" w:eastAsia="Times New Roman" w:hAnsi="Sylfaen" w:cs="Sylfaen"/>
          <w:sz w:val="24"/>
          <w:szCs w:val="24"/>
          <w:lang w:val="en-US"/>
        </w:rPr>
        <w:t>ატას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რეგიონულ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სამრეწველო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გამიჯვნა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</w:t>
      </w:r>
      <w:r>
        <w:rPr>
          <w:rFonts w:ascii="Sylfaen" w:eastAsia="Times New Roman" w:hAnsi="Sylfaen" w:cs="Sylfaen"/>
          <w:sz w:val="24"/>
          <w:szCs w:val="24"/>
          <w:lang w:val="en-US"/>
        </w:rPr>
        <w:t>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16652196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ab/>
      </w:r>
    </w:p>
    <w:p w14:paraId="40C6439F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8.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კონტროლი</w:t>
      </w:r>
    </w:p>
    <w:p w14:paraId="111CF338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1EAB77A0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ab/>
      </w:r>
    </w:p>
    <w:p w14:paraId="3318E528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9.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გარდამავალი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დებულებანი</w:t>
      </w:r>
    </w:p>
    <w:p w14:paraId="5D1BF391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სამრეწველო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პალატებმ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145BD8D2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სამრეწველო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</w:t>
      </w:r>
      <w:r>
        <w:rPr>
          <w:rFonts w:ascii="Sylfaen" w:eastAsia="Times New Roman" w:hAnsi="Sylfaen" w:cs="Sylfaen"/>
          <w:sz w:val="24"/>
          <w:szCs w:val="24"/>
          <w:lang w:val="en-US"/>
        </w:rPr>
        <w:t>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2299AD48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სამრეწველო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ფლობდა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განუყოფელია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განაწილდეს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რეგიონულ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ამრეწველო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7C997772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სამრეწველო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სამრეწველო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პალატებმა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წესდებების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26885DE1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5.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დარჩეს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წესდებები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5886582E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ab/>
      </w:r>
    </w:p>
    <w:p w14:paraId="34F1B594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10.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დასკვნითი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დებულებანი</w:t>
      </w:r>
    </w:p>
    <w:p w14:paraId="37CFB294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ამოქმედებისთანავე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გამოცხადდეს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2001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26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ოქტომბრის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სამრეწველო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“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მაცნე</w:t>
      </w:r>
      <w:r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№33, 10.11.2001,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</w:t>
      </w:r>
      <w:r>
        <w:rPr>
          <w:rFonts w:ascii="Sylfaen" w:eastAsia="Times New Roman" w:hAnsi="Sylfaen" w:cs="Sylfaen"/>
          <w:sz w:val="24"/>
          <w:szCs w:val="24"/>
          <w:lang w:val="en-US"/>
        </w:rPr>
        <w:t>. 132).</w:t>
      </w:r>
    </w:p>
    <w:p w14:paraId="36029A01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1CDAE1B8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  <w:r>
        <w:rPr>
          <w:rFonts w:ascii="Sylfaen" w:hAnsi="Sylfaen" w:cs="Sylfaen"/>
          <w:b/>
          <w:bCs/>
          <w:sz w:val="24"/>
          <w:szCs w:val="24"/>
          <w:lang w:val="en-US"/>
        </w:rPr>
        <w:t> </w:t>
      </w:r>
    </w:p>
    <w:p w14:paraId="14122304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მიხეილ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სააკაშვილი</w:t>
      </w:r>
    </w:p>
    <w:p w14:paraId="16D61BC2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2EF3AA02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14:paraId="54CDE1F9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2012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28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ივნისი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7962DFBA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№6569-</w:t>
      </w:r>
      <w:r>
        <w:rPr>
          <w:rFonts w:ascii="Sylfaen" w:eastAsia="Times New Roman" w:hAnsi="Sylfaen" w:cs="Sylfaen"/>
          <w:sz w:val="24"/>
          <w:szCs w:val="24"/>
          <w:lang w:val="en-US"/>
        </w:rPr>
        <w:t>რს</w:t>
      </w:r>
    </w:p>
    <w:p w14:paraId="612DCD57" w14:textId="77777777" w:rsidR="00000000" w:rsidRDefault="00DB1AB3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85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1">
      <w:start w:val="1"/>
      <w:numFmt w:val="decimal"/>
      <w:lvlText w:val="%2."/>
      <w:lvlJc w:val="left"/>
      <w:pPr>
        <w:ind w:left="121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2">
      <w:start w:val="1"/>
      <w:numFmt w:val="decimal"/>
      <w:lvlText w:val="%3."/>
      <w:lvlJc w:val="left"/>
      <w:pPr>
        <w:ind w:left="157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3">
      <w:start w:val="1"/>
      <w:numFmt w:val="decimal"/>
      <w:lvlText w:val="%4."/>
      <w:lvlJc w:val="left"/>
      <w:pPr>
        <w:ind w:left="193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4">
      <w:start w:val="1"/>
      <w:numFmt w:val="decimal"/>
      <w:lvlText w:val="%5."/>
      <w:lvlJc w:val="left"/>
      <w:pPr>
        <w:ind w:left="229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5">
      <w:start w:val="1"/>
      <w:numFmt w:val="decimal"/>
      <w:lvlText w:val="%6."/>
      <w:lvlJc w:val="left"/>
      <w:pPr>
        <w:ind w:left="265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6">
      <w:start w:val="1"/>
      <w:numFmt w:val="decimal"/>
      <w:lvlText w:val="%7."/>
      <w:lvlJc w:val="left"/>
      <w:pPr>
        <w:ind w:left="301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7">
      <w:start w:val="1"/>
      <w:numFmt w:val="decimal"/>
      <w:lvlText w:val="%8."/>
      <w:lvlJc w:val="left"/>
      <w:pPr>
        <w:ind w:left="337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8">
      <w:start w:val="1"/>
      <w:numFmt w:val="decimal"/>
      <w:lvlText w:val="%9."/>
      <w:lvlJc w:val="left"/>
      <w:pPr>
        <w:ind w:left="373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</w:abstractNum>
  <w:num w:numId="1" w16cid:durableId="1926457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B1AB3"/>
    <w:rsid w:val="00DB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5A5B79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  <w:lang w:val="x-none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alibri" w:hAnsi="Calibri" w:cs="Calibri"/>
      <w:lang w:val="x-none"/>
    </w:rPr>
  </w:style>
  <w:style w:type="character" w:customStyle="1" w:styleId="Heading1Char">
    <w:name w:val="Heading 1 Char"/>
    <w:basedOn w:val="DefaultParagraphFont"/>
    <w:link w:val="Heading1"/>
    <w:uiPriority w:val="9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Arial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pPr>
      <w:spacing w:after="0" w:line="240" w:lineRule="auto"/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Pr>
      <w:sz w:val="20"/>
      <w:szCs w:val="20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uiPriority w:val="99"/>
    <w:pPr>
      <w:widowControl w:val="0"/>
      <w:spacing w:after="0" w:line="240" w:lineRule="auto"/>
    </w:pPr>
    <w:rPr>
      <w:sz w:val="24"/>
      <w:szCs w:val="24"/>
    </w:rPr>
  </w:style>
  <w:style w:type="paragraph" w:customStyle="1" w:styleId="Style3">
    <w:name w:val="Style3"/>
    <w:basedOn w:val="Normal"/>
    <w:uiPriority w:val="99"/>
    <w:pPr>
      <w:widowControl w:val="0"/>
      <w:spacing w:after="0" w:line="323" w:lineRule="exact"/>
      <w:ind w:firstLine="710"/>
      <w:jc w:val="both"/>
    </w:pPr>
    <w:rPr>
      <w:sz w:val="24"/>
      <w:szCs w:val="24"/>
    </w:rPr>
  </w:style>
  <w:style w:type="paragraph" w:customStyle="1" w:styleId="a">
    <w:name w:val="Абзац списка"/>
    <w:basedOn w:val="Normal"/>
    <w:uiPriority w:val="99"/>
    <w:pPr>
      <w:spacing w:after="0" w:line="240" w:lineRule="auto"/>
      <w:ind w:left="708"/>
    </w:pPr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val="x-none"/>
    </w:rPr>
  </w:style>
  <w:style w:type="paragraph" w:customStyle="1" w:styleId="abzacixml">
    <w:name w:val="abzaci_xml"/>
    <w:basedOn w:val="PlainText"/>
    <w:uiPriority w:val="99"/>
    <w:pPr>
      <w:spacing w:after="0" w:line="240" w:lineRule="auto"/>
      <w:ind w:firstLine="283"/>
      <w:jc w:val="both"/>
    </w:pPr>
    <w:rPr>
      <w:rFonts w:ascii="Sylfaen" w:hAnsi="Sylfaen" w:cs="Sylfaen"/>
      <w:sz w:val="22"/>
      <w:szCs w:val="22"/>
    </w:rPr>
  </w:style>
  <w:style w:type="paragraph" w:customStyle="1" w:styleId="sataurixml">
    <w:name w:val="satauri_xml"/>
    <w:basedOn w:val="abzacixml"/>
    <w:uiPriority w:val="99"/>
    <w:pPr>
      <w:spacing w:before="240" w:after="120"/>
      <w:ind w:firstLine="0"/>
      <w:jc w:val="center"/>
    </w:pPr>
    <w:rPr>
      <w:b/>
      <w:bCs/>
      <w:sz w:val="24"/>
      <w:szCs w:val="24"/>
    </w:rPr>
  </w:style>
  <w:style w:type="paragraph" w:customStyle="1" w:styleId="tarigixml">
    <w:name w:val="tarigi_xml"/>
    <w:basedOn w:val="abzacixml"/>
    <w:uiPriority w:val="99"/>
    <w:pPr>
      <w:spacing w:before="240" w:after="240"/>
      <w:ind w:firstLine="284"/>
      <w:jc w:val="center"/>
    </w:pPr>
    <w:rPr>
      <w:b/>
      <w:bCs/>
    </w:rPr>
  </w:style>
  <w:style w:type="paragraph" w:customStyle="1" w:styleId="danartixml">
    <w:name w:val="danarti_xml"/>
    <w:basedOn w:val="abzacixml"/>
    <w:uiPriority w:val="99"/>
    <w:pPr>
      <w:spacing w:before="120" w:after="120"/>
      <w:ind w:firstLine="284"/>
      <w:jc w:val="right"/>
    </w:pPr>
    <w:rPr>
      <w:b/>
      <w:bCs/>
      <w:i/>
      <w:iCs/>
      <w:sz w:val="20"/>
      <w:szCs w:val="20"/>
    </w:rPr>
  </w:style>
  <w:style w:type="paragraph" w:customStyle="1" w:styleId="khelmoceraxml">
    <w:name w:val="khelmocera_xml"/>
    <w:basedOn w:val="abzacixml"/>
    <w:uiPriority w:val="99"/>
    <w:pPr>
      <w:spacing w:before="120" w:after="120"/>
      <w:jc w:val="left"/>
    </w:pPr>
    <w:rPr>
      <w:b/>
      <w:bCs/>
      <w:sz w:val="24"/>
      <w:szCs w:val="24"/>
    </w:rPr>
  </w:style>
  <w:style w:type="paragraph" w:customStyle="1" w:styleId="ckhrilixml">
    <w:name w:val="ckhrili_xml"/>
    <w:basedOn w:val="abzacixml"/>
    <w:uiPriority w:val="99"/>
    <w:pPr>
      <w:spacing w:before="20" w:after="20"/>
      <w:ind w:firstLine="0"/>
      <w:jc w:val="left"/>
    </w:pPr>
    <w:rPr>
      <w:sz w:val="18"/>
      <w:szCs w:val="18"/>
    </w:rPr>
  </w:style>
  <w:style w:type="paragraph" w:customStyle="1" w:styleId="mimgebixml">
    <w:name w:val="mimgebi_xml"/>
    <w:basedOn w:val="Normal"/>
    <w:uiPriority w:val="99"/>
    <w:pPr>
      <w:spacing w:after="0" w:line="240" w:lineRule="auto"/>
      <w:jc w:val="center"/>
    </w:pPr>
    <w:rPr>
      <w:rFonts w:ascii="Sylfaen" w:hAnsi="Sylfaen" w:cs="Sylfae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Calibri" w:hAnsi="Calibri" w:cs="Calibri"/>
      <w:lang w:val="x-none"/>
    </w:rPr>
  </w:style>
  <w:style w:type="paragraph" w:customStyle="1" w:styleId="sulcvlilebaxml">
    <w:name w:val="sul_cvlileba_xml"/>
    <w:basedOn w:val="Normal"/>
    <w:uiPriority w:val="99"/>
    <w:pPr>
      <w:spacing w:after="0" w:line="240" w:lineRule="auto"/>
      <w:ind w:firstLine="283"/>
    </w:pPr>
    <w:rPr>
      <w:rFonts w:ascii="Sylfaen" w:hAnsi="Sylfaen" w:cs="Sylfaen"/>
      <w:b/>
      <w:bCs/>
    </w:rPr>
  </w:style>
  <w:style w:type="paragraph" w:customStyle="1" w:styleId="zogadinacilixml">
    <w:name w:val="zogadi_nacili_xml"/>
    <w:basedOn w:val="Normal"/>
    <w:uiPriority w:val="99"/>
    <w:pPr>
      <w:keepNext/>
      <w:keepLines/>
      <w:spacing w:before="240" w:after="0" w:line="240" w:lineRule="exact"/>
      <w:ind w:left="850" w:hanging="850"/>
      <w:jc w:val="center"/>
    </w:pPr>
    <w:rPr>
      <w:rFonts w:ascii="Sylfaen" w:hAnsi="Sylfaen" w:cs="Sylfaen"/>
      <w:b/>
      <w:bCs/>
    </w:rPr>
  </w:style>
  <w:style w:type="paragraph" w:customStyle="1" w:styleId="gansakutrebulinacilixml">
    <w:name w:val="gansakutrebuli_nacili_xml"/>
    <w:basedOn w:val="Normal"/>
    <w:uiPriority w:val="99"/>
    <w:pPr>
      <w:keepNext/>
      <w:keepLines/>
      <w:numPr>
        <w:numId w:val="1"/>
      </w:numPr>
      <w:spacing w:before="240" w:after="0" w:line="240" w:lineRule="auto"/>
      <w:jc w:val="center"/>
    </w:pPr>
    <w:rPr>
      <w:rFonts w:ascii="Sylfaen" w:hAnsi="Sylfaen" w:cs="Sylfaen"/>
      <w:b/>
      <w:bCs/>
    </w:rPr>
  </w:style>
  <w:style w:type="paragraph" w:customStyle="1" w:styleId="satauri2">
    <w:name w:val="satauri2"/>
    <w:basedOn w:val="Normal"/>
    <w:uiPriority w:val="99"/>
    <w:pPr>
      <w:spacing w:after="0" w:line="240" w:lineRule="auto"/>
      <w:jc w:val="center"/>
    </w:pPr>
    <w:rPr>
      <w:rFonts w:ascii="Sylfaen" w:hAnsi="Sylfaen" w:cs="Sylfaen"/>
      <w:b/>
      <w:bCs/>
    </w:rPr>
  </w:style>
  <w:style w:type="paragraph" w:customStyle="1" w:styleId="muxlixml">
    <w:name w:val="muxli_xml"/>
    <w:basedOn w:val="Normal"/>
    <w:uiPriority w:val="99"/>
    <w:pPr>
      <w:keepNext/>
      <w:keepLines/>
      <w:spacing w:before="240" w:after="0" w:line="240" w:lineRule="exact"/>
      <w:ind w:left="850" w:hanging="850"/>
    </w:pPr>
    <w:rPr>
      <w:rFonts w:ascii="Sylfaen" w:hAnsi="Sylfaen" w:cs="Sylfaen"/>
      <w:b/>
      <w:bCs/>
    </w:rPr>
  </w:style>
  <w:style w:type="character" w:styleId="PageNumber">
    <w:name w:val="page number"/>
    <w:basedOn w:val="DefaultParagraphFont"/>
    <w:uiPriority w:val="99"/>
  </w:style>
  <w:style w:type="character" w:customStyle="1" w:styleId="skypepnhprintcontainer">
    <w:name w:val="skype_pnh_print_container"/>
    <w:basedOn w:val="DefaultParagraphFont"/>
    <w:uiPriority w:val="99"/>
  </w:style>
  <w:style w:type="character" w:customStyle="1" w:styleId="skypepnhcontainer">
    <w:name w:val="skype_pnh_container"/>
    <w:basedOn w:val="DefaultParagraphFont"/>
    <w:uiPriority w:val="99"/>
  </w:style>
  <w:style w:type="character" w:customStyle="1" w:styleId="mediumtext1">
    <w:name w:val="medium_text1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skypepnhmark">
    <w:name w:val="skype_pnh_mark"/>
    <w:basedOn w:val="DefaultParagraphFont"/>
    <w:uiPriority w:val="99"/>
  </w:style>
  <w:style w:type="character" w:customStyle="1" w:styleId="B">
    <w:name w:val="B"/>
    <w:basedOn w:val="DefaultParagraphFont"/>
    <w:uiPriority w:val="99"/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paragraph" w:styleId="NoSpacing">
    <w:name w:val="No Spacing"/>
    <w:basedOn w:val="Normal0"/>
    <w:uiPriority w:val="99"/>
    <w:qFormat/>
    <w:pPr>
      <w:widowControl/>
    </w:pPr>
    <w:rPr>
      <w:rFonts w:ascii="Calibri" w:hAnsi="Calibri" w:cs="Calibri"/>
      <w:sz w:val="22"/>
      <w:szCs w:val="22"/>
    </w:rPr>
  </w:style>
  <w:style w:type="character" w:customStyle="1" w:styleId="FontStyle11">
    <w:name w:val="Font Style11"/>
    <w:basedOn w:val="DefaultParagraphFont"/>
    <w:uiPriority w:val="99"/>
    <w:rPr>
      <w:sz w:val="26"/>
      <w:szCs w:val="26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2141</Words>
  <Characters>12206</Characters>
  <Application>Microsoft Office Word</Application>
  <DocSecurity>0</DocSecurity>
  <Lines>101</Lines>
  <Paragraphs>28</Paragraphs>
  <ScaleCrop>false</ScaleCrop>
  <Company/>
  <LinksUpToDate>false</LinksUpToDate>
  <CharactersWithSpaces>14319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2022-08-16T16:57:00Z</dcterms:created>
  <dcterms:modified xsi:type="dcterms:W3CDTF">2022-08-16T16:57:00Z</dcterms:modified>
</cp:coreProperties>
</file>