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12/01/2013 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080050000.05.001.016897 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b/>
          <w:bCs/>
          <w:sz w:val="32"/>
          <w:szCs w:val="32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ჰუმანიზმის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სამართლიანობის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პატიმართა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მიზანშეწონილობისა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კრიმინოგენული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სიტუაციის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ევროპის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ასამბლეის</w:t>
      </w:r>
      <w:r>
        <w:rPr>
          <w:rFonts w:ascii="Sylfaen" w:hAnsi="Sylfaen" w:cs="Sylfaen"/>
          <w:sz w:val="24"/>
          <w:szCs w:val="24"/>
        </w:rPr>
        <w:t xml:space="preserve"> №1900 (2012) </w:t>
      </w:r>
      <w:r>
        <w:rPr>
          <w:rFonts w:ascii="Sylfaen" w:hAnsi="Sylfaen" w:cs="Sylfaen"/>
          <w:sz w:val="24"/>
          <w:szCs w:val="24"/>
        </w:rPr>
        <w:t>რეზოლუციით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მიაჩნ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დაპატიმრებული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63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63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</w:t>
      </w:r>
    </w:p>
    <w:p w:rsidR="00000000" w:rsidRDefault="007C4993">
      <w:pPr>
        <w:tabs>
          <w:tab w:val="left" w:pos="63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63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გაუნახევრდეს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</w:t>
      </w:r>
      <w:r>
        <w:rPr>
          <w:rFonts w:ascii="Sylfaen" w:hAnsi="Sylfaen" w:cs="Sylfaen"/>
          <w:b/>
          <w:bCs/>
          <w:sz w:val="24"/>
          <w:szCs w:val="24"/>
        </w:rPr>
        <w:t>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</w:t>
      </w:r>
      <w:r>
        <w:rPr>
          <w:rFonts w:ascii="Sylfaen" w:hAnsi="Sylfaen" w:cs="Sylfaen"/>
          <w:sz w:val="24"/>
          <w:szCs w:val="24"/>
        </w:rPr>
        <w:t>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დანაშაულებისა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 (110-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111-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112-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113-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114-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115-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116-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მუხლი</w:t>
      </w:r>
      <w:r>
        <w:rPr>
          <w:rFonts w:ascii="Sylfaen" w:hAnsi="Sylfaen" w:cs="Sylfaen"/>
          <w:sz w:val="24"/>
          <w:szCs w:val="24"/>
        </w:rPr>
        <w:t>; 118-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133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170-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188-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220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229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240-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283-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292-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293-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295-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297-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342-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342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397-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 (117-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</w:t>
      </w:r>
      <w:r>
        <w:rPr>
          <w:rFonts w:ascii="Sylfaen" w:hAnsi="Sylfaen" w:cs="Sylfaen"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სქესობრივი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ხელშეუხებლობის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(139-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140-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141-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(142-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142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; 143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144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144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146-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155-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156-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160-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162-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164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164</w:t>
      </w:r>
      <w:r>
        <w:rPr>
          <w:rFonts w:ascii="Sylfaen" w:hAnsi="Sylfaen" w:cs="Sylfaen"/>
          <w:position w:val="12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>; 164</w:t>
      </w:r>
      <w:r>
        <w:rPr>
          <w:rFonts w:ascii="Sylfaen" w:hAnsi="Sylfaen" w:cs="Sylfaen"/>
          <w:position w:val="12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166-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ანტისაზოგადოებრივ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ქმედებაში</w:t>
      </w:r>
      <w:r>
        <w:rPr>
          <w:rFonts w:ascii="Sylfaen" w:hAnsi="Sylfaen" w:cs="Sylfaen"/>
          <w:sz w:val="24"/>
          <w:szCs w:val="24"/>
        </w:rPr>
        <w:t xml:space="preserve"> (171-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ბავშვის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 (174-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პროსტიტუციაში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ჩაბმა</w:t>
      </w:r>
      <w:r>
        <w:rPr>
          <w:rFonts w:ascii="Sylfaen" w:hAnsi="Sylfaen" w:cs="Sylfaen"/>
          <w:sz w:val="24"/>
          <w:szCs w:val="24"/>
        </w:rPr>
        <w:t xml:space="preserve"> (253-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(320-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321-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სამოხელეო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(332-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; 333-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; 334-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335-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337-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339-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340-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341-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; 342-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სამართალ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შეშლა</w:t>
      </w:r>
      <w:r>
        <w:rPr>
          <w:rFonts w:ascii="Sylfaen" w:hAnsi="Sylfaen" w:cs="Sylfaen"/>
          <w:sz w:val="24"/>
          <w:szCs w:val="24"/>
        </w:rPr>
        <w:t xml:space="preserve"> (364-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ფალსიფიკაცია</w:t>
      </w:r>
      <w:r>
        <w:rPr>
          <w:rFonts w:ascii="Sylfaen" w:hAnsi="Sylfaen" w:cs="Sylfaen"/>
          <w:sz w:val="24"/>
          <w:szCs w:val="24"/>
        </w:rPr>
        <w:t xml:space="preserve"> (369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დაფარვა</w:t>
      </w:r>
      <w:r>
        <w:rPr>
          <w:rFonts w:ascii="Sylfaen" w:hAnsi="Sylfaen" w:cs="Sylfaen"/>
          <w:sz w:val="24"/>
          <w:szCs w:val="24"/>
        </w:rPr>
        <w:t xml:space="preserve"> (375-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შეუტყობინებლობა</w:t>
      </w:r>
      <w:r>
        <w:rPr>
          <w:rFonts w:ascii="Sylfaen" w:hAnsi="Sylfaen" w:cs="Sylfaen"/>
          <w:sz w:val="24"/>
          <w:szCs w:val="24"/>
        </w:rPr>
        <w:t xml:space="preserve"> (376-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>აშაული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(378-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381-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); </w:t>
      </w:r>
      <w:r>
        <w:rPr>
          <w:rFonts w:ascii="Sylfaen" w:hAnsi="Sylfaen" w:cs="Sylfaen"/>
          <w:sz w:val="24"/>
          <w:szCs w:val="24"/>
        </w:rPr>
        <w:t>მოწოდება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გაჩაღებისაკენ</w:t>
      </w:r>
      <w:r>
        <w:rPr>
          <w:rFonts w:ascii="Sylfaen" w:hAnsi="Sylfaen" w:cs="Sylfaen"/>
          <w:sz w:val="24"/>
          <w:szCs w:val="24"/>
        </w:rPr>
        <w:t xml:space="preserve"> (405-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შეუმცირდეს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</w:t>
      </w:r>
      <w:r>
        <w:rPr>
          <w:rFonts w:ascii="Sylfaen" w:hAnsi="Sylfaen" w:cs="Sylfaen"/>
          <w:sz w:val="24"/>
          <w:szCs w:val="24"/>
        </w:rPr>
        <w:t>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 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გაუფრთხი</w:t>
      </w:r>
      <w:r>
        <w:rPr>
          <w:rFonts w:ascii="Sylfaen" w:hAnsi="Sylfaen" w:cs="Sylfaen"/>
          <w:sz w:val="24"/>
          <w:szCs w:val="24"/>
        </w:rPr>
        <w:t>ლებლობითი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2. </w:t>
      </w: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</w:t>
      </w:r>
      <w:r>
        <w:rPr>
          <w:rFonts w:ascii="Sylfaen" w:hAnsi="Sylfaen" w:cs="Sylfaen"/>
          <w:sz w:val="24"/>
          <w:szCs w:val="24"/>
        </w:rPr>
        <w:t>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გაუფრთხილებლობითი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იძებნება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ქმედუნარია</w:t>
      </w:r>
      <w:r>
        <w:rPr>
          <w:rFonts w:ascii="Sylfaen" w:hAnsi="Sylfaen" w:cs="Sylfaen"/>
          <w:sz w:val="24"/>
          <w:szCs w:val="24"/>
        </w:rPr>
        <w:t>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მეუღლე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შვილი</w:t>
      </w:r>
      <w:r>
        <w:rPr>
          <w:rFonts w:ascii="Sylfaen" w:hAnsi="Sylfaen" w:cs="Sylfaen"/>
          <w:sz w:val="24"/>
          <w:szCs w:val="24"/>
        </w:rPr>
        <w:t xml:space="preserve">).  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მცდელობა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გაუნახევრდეს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მცდელობა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260-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>, 261-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პრეკურსორის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ფსიქოტროპული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ძლიერმოქმედი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XXXIII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კვალიფიცირდებოდა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273-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   239-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</w:t>
      </w:r>
      <w:r>
        <w:rPr>
          <w:rFonts w:ascii="Sylfaen" w:hAnsi="Sylfaen" w:cs="Sylfaen"/>
          <w:sz w:val="24"/>
          <w:szCs w:val="24"/>
        </w:rPr>
        <w:t>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339</w:t>
      </w:r>
      <w:r>
        <w:rPr>
          <w:rFonts w:ascii="Sylfaen" w:hAnsi="Sylfaen" w:cs="Sylfaen"/>
          <w:position w:val="12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 </w:t>
      </w:r>
    </w:p>
    <w:p w:rsidR="00000000" w:rsidRDefault="007C4993">
      <w:pPr>
        <w:numPr>
          <w:ilvl w:val="0"/>
          <w:numId w:val="1"/>
        </w:numPr>
        <w:tabs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180-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numPr>
          <w:ilvl w:val="0"/>
          <w:numId w:val="1"/>
        </w:numPr>
        <w:tabs>
          <w:tab w:val="left" w:pos="36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</w:t>
      </w:r>
      <w:r>
        <w:rPr>
          <w:rFonts w:ascii="Sylfaen" w:hAnsi="Sylfaen" w:cs="Sylfaen"/>
          <w:sz w:val="24"/>
          <w:szCs w:val="24"/>
        </w:rPr>
        <w:t>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იძებნება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სრულწლოვანი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ქმედუნარიანი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დედა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მეუღლე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შვილი</w:t>
      </w:r>
      <w:r>
        <w:rPr>
          <w:rFonts w:ascii="Sylfaen" w:hAnsi="Sylfaen" w:cs="Sylfaen"/>
          <w:sz w:val="24"/>
          <w:szCs w:val="24"/>
        </w:rPr>
        <w:t xml:space="preserve">).   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სამართალმემკვიდრე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უფლებამონაცვლე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აღსრულდება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გაუნახევრდეს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სასჯელი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სისხლის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სამართლის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კოდექსის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შემდეგი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მუხლებით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გათვალისწინებული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დანაშაულების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ჩამდენ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პირს</w:t>
      </w:r>
      <w:r>
        <w:rPr>
          <w:rFonts w:ascii="Sylfaen" w:hAnsi="Sylfaen" w:cs="Sylfaen"/>
          <w:color w:val="000000"/>
          <w:sz w:val="24"/>
          <w:szCs w:val="24"/>
        </w:rPr>
        <w:t>: 182-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</w:rPr>
        <w:t>ნაწილები</w:t>
      </w:r>
      <w:r>
        <w:rPr>
          <w:rFonts w:ascii="Sylfaen" w:hAnsi="Sylfaen" w:cs="Sylfaen"/>
          <w:color w:val="000000"/>
          <w:sz w:val="24"/>
          <w:szCs w:val="24"/>
        </w:rPr>
        <w:t xml:space="preserve">;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-200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-2,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-4 </w:t>
      </w:r>
      <w:r>
        <w:rPr>
          <w:rFonts w:ascii="Sylfaen" w:hAnsi="Sylfaen" w:cs="Sylfaen"/>
          <w:color w:val="000000"/>
          <w:sz w:val="24"/>
          <w:szCs w:val="24"/>
        </w:rPr>
        <w:t>ნაწილები</w:t>
      </w:r>
      <w:r>
        <w:rPr>
          <w:rFonts w:ascii="Sylfaen" w:hAnsi="Sylfaen" w:cs="Sylfaen"/>
          <w:color w:val="000000"/>
          <w:sz w:val="24"/>
          <w:szCs w:val="24"/>
        </w:rPr>
        <w:t>; 202-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203-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205</w:t>
      </w:r>
      <w:r>
        <w:rPr>
          <w:rFonts w:ascii="Sylfaen" w:hAnsi="Sylfaen" w:cs="Sylfaen"/>
          <w:color w:val="000000"/>
          <w:position w:val="12"/>
          <w:sz w:val="24"/>
          <w:szCs w:val="24"/>
        </w:rPr>
        <w:t>1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208-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210-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214-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-2,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-4 </w:t>
      </w:r>
      <w:r>
        <w:rPr>
          <w:rFonts w:ascii="Sylfaen" w:hAnsi="Sylfaen" w:cs="Sylfaen"/>
          <w:color w:val="000000"/>
          <w:sz w:val="24"/>
          <w:szCs w:val="24"/>
        </w:rPr>
        <w:t>ნაწილები</w:t>
      </w:r>
      <w:r>
        <w:rPr>
          <w:rFonts w:ascii="Sylfaen" w:hAnsi="Sylfaen" w:cs="Sylfaen"/>
          <w:color w:val="000000"/>
          <w:sz w:val="24"/>
          <w:szCs w:val="24"/>
        </w:rPr>
        <w:t>; 218-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236-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-4 </w:t>
      </w:r>
      <w:r>
        <w:rPr>
          <w:rFonts w:ascii="Sylfaen" w:hAnsi="Sylfaen" w:cs="Sylfaen"/>
          <w:color w:val="000000"/>
          <w:sz w:val="24"/>
          <w:szCs w:val="24"/>
        </w:rPr>
        <w:t>ნაწილე</w:t>
      </w:r>
      <w:r>
        <w:rPr>
          <w:rFonts w:ascii="Sylfaen" w:hAnsi="Sylfaen" w:cs="Sylfaen"/>
          <w:color w:val="000000"/>
          <w:sz w:val="24"/>
          <w:szCs w:val="24"/>
        </w:rPr>
        <w:t>ბი</w:t>
      </w:r>
      <w:r>
        <w:rPr>
          <w:rFonts w:ascii="Sylfaen" w:hAnsi="Sylfaen" w:cs="Sylfaen"/>
          <w:color w:val="000000"/>
          <w:sz w:val="24"/>
          <w:szCs w:val="24"/>
        </w:rPr>
        <w:t>; 237-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პირველი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239-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240</w:t>
      </w:r>
      <w:r>
        <w:rPr>
          <w:rFonts w:ascii="Sylfaen" w:hAnsi="Sylfaen" w:cs="Sylfaen"/>
          <w:color w:val="000000"/>
          <w:position w:val="12"/>
          <w:sz w:val="24"/>
          <w:szCs w:val="24"/>
        </w:rPr>
        <w:t>1</w:t>
      </w:r>
      <w:r>
        <w:rPr>
          <w:rFonts w:ascii="Sylfaen" w:hAnsi="Sylfaen" w:cs="Sylfaen"/>
          <w:color w:val="000000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 </w:t>
      </w:r>
      <w:r>
        <w:rPr>
          <w:rFonts w:ascii="Sylfaen" w:hAnsi="Sylfaen" w:cs="Sylfaen"/>
          <w:color w:val="000000"/>
          <w:sz w:val="24"/>
          <w:szCs w:val="24"/>
        </w:rPr>
        <w:t>და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-3 </w:t>
      </w:r>
      <w:r>
        <w:rPr>
          <w:rFonts w:ascii="Sylfaen" w:hAnsi="Sylfaen" w:cs="Sylfaen"/>
          <w:color w:val="000000"/>
          <w:sz w:val="24"/>
          <w:szCs w:val="24"/>
        </w:rPr>
        <w:t>ნაწილები</w:t>
      </w:r>
      <w:r>
        <w:rPr>
          <w:rFonts w:ascii="Sylfaen" w:hAnsi="Sylfaen" w:cs="Sylfaen"/>
          <w:color w:val="000000"/>
          <w:sz w:val="24"/>
          <w:szCs w:val="24"/>
        </w:rPr>
        <w:t>; 276-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-4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353-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>; 370-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მე</w:t>
      </w:r>
      <w:r>
        <w:rPr>
          <w:rFonts w:ascii="Sylfaen" w:hAnsi="Sylfaen" w:cs="Sylfaen"/>
          <w:color w:val="000000"/>
          <w:sz w:val="24"/>
          <w:szCs w:val="24"/>
        </w:rPr>
        <w:t xml:space="preserve">-2 </w:t>
      </w:r>
      <w:r>
        <w:rPr>
          <w:rFonts w:ascii="Sylfaen" w:hAnsi="Sylfaen" w:cs="Sylfaen"/>
          <w:color w:val="000000"/>
          <w:sz w:val="24"/>
          <w:szCs w:val="24"/>
        </w:rPr>
        <w:t>ნაწილი</w:t>
      </w:r>
      <w:r>
        <w:rPr>
          <w:rFonts w:ascii="Sylfaen" w:hAnsi="Sylfaen" w:cs="Sylfaen"/>
          <w:color w:val="000000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384-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>; 389-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გათავისუფ</w:t>
      </w:r>
      <w:r>
        <w:rPr>
          <w:rFonts w:ascii="Sylfaen" w:hAnsi="Sylfaen" w:cs="Sylfaen"/>
          <w:sz w:val="24"/>
          <w:szCs w:val="24"/>
        </w:rPr>
        <w:t>ლდეს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სისხლის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სამართლის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კოდექსის</w:t>
      </w:r>
      <w:r>
        <w:rPr>
          <w:rFonts w:ascii="Sylfaen" w:hAnsi="Sylfaen" w:cs="Sylfaen"/>
          <w:color w:val="000000"/>
          <w:sz w:val="24"/>
          <w:szCs w:val="24"/>
        </w:rPr>
        <w:t xml:space="preserve"> 260-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გათვალისწინებული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დანაშაულისათვის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დაკისრებული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პირი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თუ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ქმედება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იმავდროულად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დაკვალიფიცირებულია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იმავე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კოდექსის</w:t>
      </w:r>
      <w:r>
        <w:rPr>
          <w:rFonts w:ascii="Sylfaen" w:hAnsi="Sylfaen" w:cs="Sylfaen"/>
          <w:color w:val="000000"/>
          <w:sz w:val="24"/>
          <w:szCs w:val="24"/>
        </w:rPr>
        <w:t xml:space="preserve"> 262-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მუხლით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</w:t>
      </w:r>
      <w:r>
        <w:rPr>
          <w:rFonts w:ascii="Sylfaen" w:hAnsi="Sylfaen" w:cs="Sylfaen"/>
          <w:sz w:val="24"/>
          <w:szCs w:val="24"/>
        </w:rPr>
        <w:t>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სისხლის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სამართლის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კოდექსის</w:t>
      </w:r>
      <w:r>
        <w:rPr>
          <w:rFonts w:ascii="Sylfaen" w:hAnsi="Sylfaen" w:cs="Sylfaen"/>
          <w:color w:val="000000"/>
          <w:sz w:val="24"/>
          <w:szCs w:val="24"/>
        </w:rPr>
        <w:t xml:space="preserve"> 261-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გათვალისწინებული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დანაშაულისათვის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დაკისრებული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პირი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თუ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ქმედება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იმავდროულად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დაკვალიფიცირებულია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იმავე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კოდექსის</w:t>
      </w:r>
      <w:r>
        <w:rPr>
          <w:rFonts w:ascii="Sylfaen" w:hAnsi="Sylfaen" w:cs="Sylfaen"/>
          <w:color w:val="000000"/>
          <w:sz w:val="24"/>
          <w:szCs w:val="24"/>
        </w:rPr>
        <w:t xml:space="preserve"> 263-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მუხლით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თავისუფლდეს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</w:rPr>
        <w:t>საქართველოს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სისხლის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სამართლის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კოდექსის</w:t>
      </w:r>
      <w:r>
        <w:rPr>
          <w:rFonts w:ascii="Sylfaen" w:hAnsi="Sylfaen" w:cs="Sylfaen"/>
          <w:color w:val="000000"/>
          <w:sz w:val="24"/>
          <w:szCs w:val="24"/>
        </w:rPr>
        <w:t xml:space="preserve"> 177-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მუხლით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გათვალისწინებული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დანაშაულისათვის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დაკისრებული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პირი</w:t>
      </w:r>
      <w:r>
        <w:rPr>
          <w:rFonts w:ascii="Sylfaen" w:hAnsi="Sylfaen" w:cs="Sylfaen"/>
          <w:color w:val="000000"/>
          <w:sz w:val="24"/>
          <w:szCs w:val="24"/>
        </w:rPr>
        <w:t xml:space="preserve">, </w:t>
      </w:r>
      <w:r>
        <w:rPr>
          <w:rFonts w:ascii="Sylfaen" w:hAnsi="Sylfaen" w:cs="Sylfaen"/>
          <w:color w:val="000000"/>
          <w:sz w:val="24"/>
          <w:szCs w:val="24"/>
        </w:rPr>
        <w:t>თუ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მისი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ქმედება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იმავდროულად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დაკვალიფიცირებულია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იმავე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კოდექსის</w:t>
      </w:r>
      <w:r>
        <w:rPr>
          <w:rFonts w:ascii="Sylfaen" w:hAnsi="Sylfaen" w:cs="Sylfaen"/>
          <w:color w:val="000000"/>
          <w:sz w:val="24"/>
          <w:szCs w:val="24"/>
        </w:rPr>
        <w:t xml:space="preserve"> 303-</w:t>
      </w:r>
      <w:r>
        <w:rPr>
          <w:rFonts w:ascii="Sylfaen" w:hAnsi="Sylfaen" w:cs="Sylfaen"/>
          <w:color w:val="000000"/>
          <w:sz w:val="24"/>
          <w:szCs w:val="24"/>
        </w:rPr>
        <w:t>ე</w:t>
      </w:r>
      <w:r>
        <w:rPr>
          <w:rFonts w:ascii="Sylfaen" w:hAnsi="Sylfaen" w:cs="Sylfaen"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>მუხლით</w:t>
      </w:r>
      <w:r>
        <w:rPr>
          <w:rFonts w:ascii="Sylfaen" w:hAnsi="Sylfaen" w:cs="Sylfaen"/>
          <w:color w:val="000000"/>
          <w:sz w:val="24"/>
          <w:szCs w:val="24"/>
        </w:rPr>
        <w:t xml:space="preserve">.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16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შეუმცირდეს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17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სასჯელი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</w:t>
      </w:r>
      <w:r>
        <w:rPr>
          <w:rFonts w:ascii="Sylfaen" w:hAnsi="Sylfaen" w:cs="Sylfaen"/>
          <w:sz w:val="24"/>
          <w:szCs w:val="24"/>
        </w:rPr>
        <w:t>იობის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დაენიშნა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დაენიშნება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18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ერთნაირად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გამოსაცდელ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ჩამორთმევისა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19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</w:t>
      </w:r>
      <w:r>
        <w:rPr>
          <w:rFonts w:ascii="Sylfaen" w:hAnsi="Sylfaen" w:cs="Sylfaen"/>
          <w:sz w:val="24"/>
          <w:szCs w:val="24"/>
        </w:rPr>
        <w:t>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აღუდგეს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ნარკოტიკული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20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შეფარდებულ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აღსრულებულ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ჩამორთმევაზე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არასაპატიმრო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გადახდილ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21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ოქტომბრამდე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22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გათავისუფლდეს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დაპატიმრებული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23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ბრალდებულზე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გამოძიების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</w:t>
      </w:r>
      <w:r>
        <w:rPr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ბრალდებულზე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მსჯავრდებულზე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სტადიაზე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.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მსჯავრდებულზე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</w:t>
      </w:r>
      <w:r>
        <w:rPr>
          <w:rFonts w:ascii="Sylfaen" w:hAnsi="Sylfaen" w:cs="Sylfaen"/>
          <w:sz w:val="24"/>
          <w:szCs w:val="24"/>
        </w:rPr>
        <w:t>აწყვეტილებას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სამართალწარმოების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პატიმრობაში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რეჟიმში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მიაწვდის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პრობაციის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სამხედრო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ხელმძღვანელობა</w:t>
      </w:r>
      <w:r>
        <w:rPr>
          <w:rFonts w:ascii="Sylfaen" w:hAnsi="Sylfaen" w:cs="Sylfae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ძებნილ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მსჯავრდებულზე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პროკურატურა</w:t>
      </w:r>
      <w:r>
        <w:rPr>
          <w:rFonts w:ascii="Sylfaen" w:hAnsi="Sylfaen" w:cs="Sylfae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</w:t>
      </w:r>
      <w:r>
        <w:rPr>
          <w:rFonts w:ascii="Sylfaen" w:hAnsi="Sylfaen" w:cs="Sylfaen"/>
          <w:sz w:val="24"/>
          <w:szCs w:val="24"/>
        </w:rPr>
        <w:t>სტიის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21-</w:t>
      </w:r>
      <w:r>
        <w:rPr>
          <w:rFonts w:ascii="Sylfaen" w:hAnsi="Sylfaen" w:cs="Sylfaen"/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-11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აღსრულდეს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-11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</w:t>
      </w:r>
      <w:r>
        <w:rPr>
          <w:rFonts w:ascii="Sylfaen" w:hAnsi="Sylfaen" w:cs="Sylfaen"/>
          <w:sz w:val="24"/>
          <w:szCs w:val="24"/>
        </w:rPr>
        <w:t>სტია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აღსრულდეს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sz w:val="24"/>
          <w:szCs w:val="24"/>
        </w:rPr>
        <w:t xml:space="preserve">.   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24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პატიმრობაში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აღასრულონ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პრობაციისა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</w:t>
      </w:r>
      <w:r>
        <w:rPr>
          <w:rFonts w:ascii="Sylfaen" w:hAnsi="Sylfaen" w:cs="Sylfaen"/>
          <w:sz w:val="24"/>
          <w:szCs w:val="24"/>
        </w:rPr>
        <w:t>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ბრალდებულის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თავდაპირველი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გამომტან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რაიონულ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საქალაქო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25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</w:t>
      </w:r>
      <w:r>
        <w:rPr>
          <w:rFonts w:ascii="Sylfaen" w:hAnsi="Sylfaen" w:cs="Sylfaen"/>
          <w:sz w:val="24"/>
          <w:szCs w:val="24"/>
        </w:rPr>
        <w:t>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26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დაწყვეტილების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ჩაბარებიდან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საკასაციო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პალატაში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</w:t>
      </w:r>
      <w:r>
        <w:rPr>
          <w:rFonts w:ascii="Sylfaen" w:hAnsi="Sylfaen" w:cs="Sylfaen"/>
          <w:sz w:val="24"/>
          <w:szCs w:val="24"/>
        </w:rPr>
        <w:t>ნაწილეობით</w:t>
      </w:r>
      <w:r>
        <w:rPr>
          <w:rFonts w:ascii="Sylfaen" w:hAnsi="Sylfaen" w:cs="Sylfaen"/>
          <w:sz w:val="24"/>
          <w:szCs w:val="24"/>
        </w:rPr>
        <w:t xml:space="preserve">.  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27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Sylfaen" w:hAnsi="Sylfaen" w:cs="Sylfaen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</w:rPr>
        <w:t xml:space="preserve">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დავით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უსუფაშვილი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</w:rPr>
      </w:pP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28 </w:t>
      </w:r>
      <w:r>
        <w:rPr>
          <w:rFonts w:ascii="Sylfaen" w:hAnsi="Sylfaen" w:cs="Sylfaen"/>
          <w:sz w:val="24"/>
          <w:szCs w:val="24"/>
        </w:rPr>
        <w:t>დეკემბერი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№202-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7C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98724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C4993"/>
    <w:rsid w:val="007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