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9DDD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u w:val="single"/>
        </w:rPr>
      </w:pPr>
    </w:p>
    <w:p w14:paraId="6D11FF79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6682BD24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409EF568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გარემოს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დაცვის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2D395CC4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</w:rPr>
      </w:pPr>
    </w:p>
    <w:p w14:paraId="0CA897B5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1.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უწყებანი</w:t>
      </w:r>
      <w:r>
        <w:rPr>
          <w:rFonts w:ascii="Sylfaen" w:hAnsi="Sylfaen" w:cs="Sylfaen"/>
        </w:rPr>
        <w:t xml:space="preserve">, №1-2 (33-34/7), 22 </w:t>
      </w:r>
      <w:r>
        <w:rPr>
          <w:rFonts w:ascii="Sylfaen" w:hAnsi="Sylfaen" w:cs="Sylfaen"/>
        </w:rPr>
        <w:t>იანვარი</w:t>
      </w:r>
      <w:r>
        <w:rPr>
          <w:rFonts w:ascii="Sylfaen" w:hAnsi="Sylfaen" w:cs="Sylfaen"/>
        </w:rPr>
        <w:t xml:space="preserve">, 1997, </w:t>
      </w:r>
      <w:r>
        <w:rPr>
          <w:rFonts w:ascii="Sylfaen" w:hAnsi="Sylfaen" w:cs="Sylfaen"/>
        </w:rPr>
        <w:t>გვ</w:t>
      </w:r>
      <w:r>
        <w:rPr>
          <w:rFonts w:ascii="Sylfaen" w:hAnsi="Sylfaen" w:cs="Sylfaen"/>
        </w:rPr>
        <w:t xml:space="preserve">. 24) XVI </w:t>
      </w: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:</w:t>
      </w:r>
    </w:p>
    <w:p w14:paraId="3AD0BFB0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</w:rPr>
      </w:pPr>
    </w:p>
    <w:p w14:paraId="7556A0F8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„</w:t>
      </w: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XVI</w:t>
      </w:r>
    </w:p>
    <w:p w14:paraId="176A48BA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სახელმწიფო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კონტროლი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გარემოს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დაცვის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ბუნებრივი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რესურსებით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სარგებლობის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სფეროში</w:t>
      </w:r>
    </w:p>
    <w:p w14:paraId="6374BA25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</w:rPr>
      </w:pPr>
    </w:p>
    <w:p w14:paraId="10160E96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57. </w:t>
      </w:r>
      <w:r>
        <w:rPr>
          <w:rFonts w:ascii="Sylfaen" w:hAnsi="Sylfaen" w:cs="Sylfaen"/>
          <w:b/>
          <w:bCs/>
        </w:rPr>
        <w:t>სახელმწიფო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კონტროლი</w:t>
      </w:r>
    </w:p>
    <w:p w14:paraId="393A4E9C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</w:t>
      </w:r>
      <w:r>
        <w:rPr>
          <w:rFonts w:ascii="Sylfaen" w:hAnsi="Sylfaen" w:cs="Sylfaen"/>
        </w:rPr>
        <w:t>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ენერგეტიკისა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>.</w:t>
      </w:r>
    </w:p>
    <w:p w14:paraId="0CE68068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ენერგეტიკისა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</w:t>
      </w:r>
      <w:r>
        <w:rPr>
          <w:rFonts w:ascii="Sylfaen" w:hAnsi="Sylfaen" w:cs="Sylfaen"/>
        </w:rPr>
        <w:t>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გამოიყენოს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საშტატო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ცეცხლსასროლი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პოლიციის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</w:t>
      </w:r>
      <w:r>
        <w:rPr>
          <w:rFonts w:ascii="Sylfaen" w:hAnsi="Sylfaen" w:cs="Sylfaen"/>
        </w:rPr>
        <w:t>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.“.</w:t>
      </w:r>
    </w:p>
    <w:p w14:paraId="01D8BF12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</w:rPr>
      </w:pPr>
    </w:p>
    <w:p w14:paraId="7326CC3C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2  </w:t>
      </w:r>
      <w:r>
        <w:rPr>
          <w:rFonts w:ascii="Sylfaen" w:hAnsi="Sylfaen" w:cs="Sylfaen"/>
          <w:b/>
          <w:bCs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(25.03.2013 N 456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მე</w:t>
      </w:r>
      <w:r>
        <w:rPr>
          <w:rFonts w:ascii="Sylfaen" w:hAnsi="Sylfaen" w:cs="Sylfaen"/>
          <w:i/>
          <w:iCs/>
          <w:sz w:val="20"/>
          <w:szCs w:val="20"/>
        </w:rPr>
        <w:t xml:space="preserve">-40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32760A91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კანონქვემდებარე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</w:t>
      </w:r>
      <w:r>
        <w:rPr>
          <w:rFonts w:ascii="Sylfaen" w:hAnsi="Sylfaen" w:cs="Sylfaen"/>
        </w:rPr>
        <w:t>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</w:t>
      </w:r>
      <w:r>
        <w:rPr>
          <w:rFonts w:ascii="Sylfaen" w:hAnsi="Sylfaen" w:cs="Sylfaen"/>
        </w:rPr>
        <w:t>:</w:t>
      </w:r>
    </w:p>
    <w:p w14:paraId="75803550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ენერგეტიკისა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“;</w:t>
      </w:r>
    </w:p>
    <w:p w14:paraId="528A39B2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გარემოსთვის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გამოანგარიშების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მეთოდიკის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“.</w:t>
      </w:r>
    </w:p>
    <w:p w14:paraId="1BD4306B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ამოქმედებიდან</w:t>
      </w:r>
      <w:r>
        <w:rPr>
          <w:rFonts w:ascii="Sylfaen" w:hAnsi="Sylfaen" w:cs="Sylfaen"/>
        </w:rPr>
        <w:t xml:space="preserve"> 6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ენერგეტიკისა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კანონქვემდებარე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</w:t>
      </w:r>
      <w:r>
        <w:rPr>
          <w:rFonts w:ascii="Sylfaen" w:hAnsi="Sylfaen" w:cs="Sylfaen"/>
        </w:rPr>
        <w:t xml:space="preserve">: </w:t>
      </w:r>
    </w:p>
    <w:p w14:paraId="365228AD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ენერგეტიკისა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შეიარაღებაში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საშტატო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ცეცხლსასროლი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საბრძოლო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ნუსხის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“;</w:t>
      </w:r>
    </w:p>
    <w:p w14:paraId="08EF4A58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ენერგეტიკისა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ლოგოს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თანამშრომლის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განმასხვავებელი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ტანსაცმლის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უნიფორმის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</w:t>
      </w:r>
      <w:r>
        <w:rPr>
          <w:rFonts w:ascii="Sylfaen" w:hAnsi="Sylfaen" w:cs="Sylfaen"/>
        </w:rPr>
        <w:t>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ნიმუშების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“;</w:t>
      </w:r>
    </w:p>
    <w:p w14:paraId="5F03CF1C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შევსების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ზოგადი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“;</w:t>
      </w:r>
    </w:p>
    <w:p w14:paraId="302D4767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ალიცენზიო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“.</w:t>
      </w:r>
    </w:p>
    <w:p w14:paraId="54191947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</w:rPr>
      </w:pPr>
    </w:p>
    <w:p w14:paraId="61EB90FB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15 </w:t>
      </w:r>
      <w:r>
        <w:rPr>
          <w:rFonts w:ascii="Sylfaen" w:hAnsi="Sylfaen" w:cs="Sylfaen"/>
        </w:rPr>
        <w:t>მაისიდან</w:t>
      </w:r>
      <w:r>
        <w:rPr>
          <w:rFonts w:ascii="Sylfaen" w:hAnsi="Sylfaen" w:cs="Sylfaen"/>
        </w:rPr>
        <w:t>.</w:t>
      </w:r>
    </w:p>
    <w:p w14:paraId="2525E55F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</w:rPr>
      </w:pPr>
    </w:p>
    <w:p w14:paraId="39DD2E7A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  <w:r>
        <w:rPr>
          <w:rFonts w:ascii="Sylfaen" w:hAnsi="Sylfaen" w:cs="Sylfaen"/>
        </w:rPr>
        <w:t xml:space="preserve"> </w:t>
      </w:r>
    </w:p>
    <w:p w14:paraId="754CC44D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14:paraId="1D13B0D7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5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მაისი</w:t>
      </w:r>
      <w:r>
        <w:rPr>
          <w:rFonts w:ascii="Sylfaen" w:hAnsi="Sylfaen" w:cs="Sylfaen"/>
        </w:rPr>
        <w:t>.</w:t>
      </w:r>
    </w:p>
    <w:p w14:paraId="1773ED1E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№4653–I</w:t>
      </w:r>
      <w:r>
        <w:rPr>
          <w:rFonts w:ascii="Sylfaen" w:hAnsi="Sylfaen" w:cs="Sylfaen"/>
        </w:rPr>
        <w:t>ს</w:t>
      </w:r>
    </w:p>
    <w:p w14:paraId="555C568A" w14:textId="77777777" w:rsidR="00000000" w:rsidRDefault="00600DFF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210" w:hanging="850"/>
      </w:pPr>
    </w:lvl>
    <w:lvl w:ilvl="2">
      <w:start w:val="1"/>
      <w:numFmt w:val="decimal"/>
      <w:lvlText w:val="%3."/>
      <w:lvlJc w:val="left"/>
      <w:pPr>
        <w:ind w:left="1570" w:hanging="850"/>
      </w:pPr>
    </w:lvl>
    <w:lvl w:ilvl="3">
      <w:start w:val="1"/>
      <w:numFmt w:val="decimal"/>
      <w:lvlText w:val="%4."/>
      <w:lvlJc w:val="left"/>
      <w:pPr>
        <w:ind w:left="1930" w:hanging="850"/>
      </w:pPr>
    </w:lvl>
    <w:lvl w:ilvl="4">
      <w:start w:val="1"/>
      <w:numFmt w:val="decimal"/>
      <w:lvlText w:val="%5."/>
      <w:lvlJc w:val="left"/>
      <w:pPr>
        <w:ind w:left="2290" w:hanging="850"/>
      </w:pPr>
    </w:lvl>
    <w:lvl w:ilvl="5">
      <w:start w:val="1"/>
      <w:numFmt w:val="decimal"/>
      <w:lvlText w:val="%6."/>
      <w:lvlJc w:val="left"/>
      <w:pPr>
        <w:ind w:left="2650" w:hanging="850"/>
      </w:pPr>
    </w:lvl>
    <w:lvl w:ilvl="6">
      <w:start w:val="1"/>
      <w:numFmt w:val="decimal"/>
      <w:lvlText w:val="%7."/>
      <w:lvlJc w:val="left"/>
      <w:pPr>
        <w:ind w:left="3010" w:hanging="850"/>
      </w:pPr>
    </w:lvl>
    <w:lvl w:ilvl="7">
      <w:start w:val="1"/>
      <w:numFmt w:val="decimal"/>
      <w:lvlText w:val="%8."/>
      <w:lvlJc w:val="left"/>
      <w:pPr>
        <w:ind w:left="3370" w:hanging="850"/>
      </w:pPr>
    </w:lvl>
    <w:lvl w:ilvl="8">
      <w:start w:val="1"/>
      <w:numFmt w:val="decimal"/>
      <w:lvlText w:val="%9."/>
      <w:lvlJc w:val="left"/>
      <w:pPr>
        <w:ind w:left="3730" w:hanging="850"/>
      </w:pPr>
    </w:lvl>
  </w:abstractNum>
  <w:num w:numId="1" w16cid:durableId="93166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00DFF"/>
    <w:rsid w:val="0060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D3CF5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uiPriority w:val="99"/>
    <w:pPr>
      <w:spacing w:before="120" w:after="12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</w:rPr>
  </w:style>
  <w:style w:type="paragraph" w:customStyle="1" w:styleId="ckhrilixml">
    <w:name w:val="ckhrili_xml"/>
    <w:basedOn w:val="abzacixml"/>
    <w:uiPriority w:val="99"/>
    <w:pPr>
      <w:ind w:firstLine="0"/>
      <w:jc w:val="left"/>
    </w:pPr>
    <w:rPr>
      <w:sz w:val="18"/>
      <w:szCs w:val="18"/>
    </w:rPr>
  </w:style>
  <w:style w:type="paragraph" w:customStyle="1" w:styleId="mimgebixml">
    <w:name w:val="mimgebi_xml"/>
    <w:basedOn w:val="Normal"/>
    <w:uiPriority w:val="99"/>
    <w:pPr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sulcvlilebaxml">
    <w:name w:val="sul_cvlileba_xml"/>
    <w:basedOn w:val="Normal"/>
    <w:uiPriority w:val="99"/>
    <w:pPr>
      <w:ind w:firstLine="283"/>
    </w:pPr>
    <w:rPr>
      <w:rFonts w:ascii="Sylfaen" w:hAnsi="Sylfaen" w:cs="Sylfaen"/>
      <w:b/>
      <w:bCs/>
      <w:sz w:val="22"/>
      <w:szCs w:val="22"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line="240" w:lineRule="exact"/>
      <w:ind w:left="850" w:hanging="85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satauri2">
    <w:name w:val="satauri2"/>
    <w:basedOn w:val="Normal"/>
    <w:uiPriority w:val="99"/>
    <w:pPr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line="240" w:lineRule="exact"/>
      <w:ind w:left="850" w:hanging="850"/>
    </w:pPr>
    <w:rPr>
      <w:rFonts w:ascii="Sylfaen" w:hAnsi="Sylfaen" w:cs="Sylfaen"/>
      <w:b/>
      <w:bCs/>
      <w:sz w:val="22"/>
      <w:szCs w:val="22"/>
    </w:rPr>
  </w:style>
  <w:style w:type="paragraph" w:customStyle="1" w:styleId="tavixml">
    <w:name w:val="tavi_xml"/>
    <w:basedOn w:val="Normal"/>
    <w:uiPriority w:val="99"/>
    <w:pPr>
      <w:spacing w:before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tavisataurixml">
    <w:name w:val="tavi_satauri_xml"/>
    <w:basedOn w:val="Normal"/>
    <w:uiPriority w:val="99"/>
    <w:pPr>
      <w:spacing w:after="240"/>
      <w:jc w:val="center"/>
    </w:pPr>
    <w:rPr>
      <w:rFonts w:ascii="Sylfaen" w:hAnsi="Sylfaen" w:cs="Sylfaen"/>
      <w:b/>
      <w:bCs/>
      <w:sz w:val="22"/>
      <w:szCs w:val="22"/>
    </w:rPr>
  </w:style>
  <w:style w:type="character" w:styleId="PageNumber">
    <w:name w:val="page number"/>
    <w:basedOn w:val="DefaultParagraphFont"/>
    <w:uiPriority w:val="99"/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