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3C1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50326E9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4F89495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ტყის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5F68ED19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</w:p>
    <w:p w14:paraId="575CB12C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№28(35),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148)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>:</w:t>
      </w:r>
    </w:p>
    <w:p w14:paraId="1A05BDB4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694B5843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ძ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A85F32F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ძ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ფირნიშის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>;“;</w:t>
      </w:r>
    </w:p>
    <w:p w14:paraId="4FCF1AA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ჭ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73F5F6C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ჭ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სახერხი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საამქრო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</w:t>
      </w:r>
      <w:r>
        <w:rPr>
          <w:rFonts w:ascii="Sylfaen" w:hAnsi="Sylfaen" w:cs="Sylfaen"/>
        </w:rPr>
        <w:t>;</w:t>
      </w:r>
    </w:p>
    <w:p w14:paraId="353CA6C0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ფირნიში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ფირნიშის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განუყოფელი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სახერხ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საამქროში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ანგარიშგების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</w:t>
      </w:r>
      <w:r>
        <w:rPr>
          <w:rFonts w:ascii="Sylfaen" w:hAnsi="Sylfaen" w:cs="Sylfaen"/>
        </w:rPr>
        <w:t>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გარემოსდაცვითი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>).“.</w:t>
      </w:r>
    </w:p>
    <w:p w14:paraId="72D5D888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0E0CFDF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>.“.</w:t>
      </w:r>
    </w:p>
    <w:p w14:paraId="1B93583C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EACAE70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</w:t>
      </w:r>
      <w:r>
        <w:rPr>
          <w:rFonts w:ascii="Sylfaen" w:hAnsi="Sylfaen" w:cs="Sylfaen"/>
        </w:rPr>
        <w:t>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>.“.</w:t>
      </w:r>
    </w:p>
    <w:p w14:paraId="41AD0B2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692AD5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ტყითსარგებლობა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ანიჭებს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>.“.</w:t>
      </w:r>
    </w:p>
    <w:p w14:paraId="6411B7D4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6C62133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რთვისადმი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ტყითსარგებლობის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>.“.</w:t>
      </w:r>
    </w:p>
    <w:p w14:paraId="49F46B8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 53-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40CF121C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</w:t>
      </w:r>
      <w:r>
        <w:rPr>
          <w:rFonts w:ascii="Sylfaen" w:hAnsi="Sylfaen" w:cs="Sylfaen"/>
        </w:rPr>
        <w:t>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2F688BF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ტყითსარგებლობის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>:</w:t>
      </w:r>
    </w:p>
    <w:p w14:paraId="26E8F9A7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ტყითსარგებლობი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>;</w:t>
      </w:r>
    </w:p>
    <w:p w14:paraId="52BE5595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ბილეთით</w:t>
      </w:r>
      <w:r>
        <w:rPr>
          <w:rFonts w:ascii="Sylfaen" w:hAnsi="Sylfaen" w:cs="Sylfaen"/>
        </w:rPr>
        <w:t>;</w:t>
      </w:r>
    </w:p>
    <w:p w14:paraId="6AE60DC4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ბილეთით</w:t>
      </w:r>
      <w:r>
        <w:rPr>
          <w:rFonts w:ascii="Sylfaen" w:hAnsi="Sylfaen" w:cs="Sylfaen"/>
        </w:rPr>
        <w:t>.“;</w:t>
      </w:r>
    </w:p>
    <w:p w14:paraId="16AB13D6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14:paraId="3C24C77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A0602F0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„6. </w:t>
      </w:r>
      <w:r>
        <w:rPr>
          <w:rFonts w:ascii="Sylfaen" w:hAnsi="Sylfaen" w:cs="Sylfaen"/>
        </w:rPr>
        <w:t>ნადირობის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მიკუთვნებული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</w:t>
      </w:r>
      <w:r>
        <w:rPr>
          <w:rFonts w:ascii="Sylfaen" w:hAnsi="Sylfaen" w:cs="Sylfaen"/>
        </w:rPr>
        <w:t>ალს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14:paraId="03ABAD0C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 (19.04.2013 N 56</w:t>
      </w:r>
      <w:r>
        <w:rPr>
          <w:rFonts w:ascii="Sylfaen" w:hAnsi="Sylfaen" w:cs="Sylfaen"/>
          <w:i/>
          <w:iCs/>
          <w:sz w:val="20"/>
          <w:szCs w:val="20"/>
        </w:rPr>
        <w:t>7)</w:t>
      </w:r>
    </w:p>
    <w:p w14:paraId="6C1A6280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"1.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გადამამუშავებელი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სახერხი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საამქ</w:t>
      </w:r>
      <w:r>
        <w:rPr>
          <w:rFonts w:ascii="Sylfaen" w:hAnsi="Sylfaen" w:cs="Sylfaen"/>
        </w:rPr>
        <w:t>როს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4B41AABB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</w:t>
      </w:r>
      <w:r>
        <w:rPr>
          <w:rFonts w:ascii="Sylfaen" w:hAnsi="Sylfaen" w:cs="Sylfaen"/>
        </w:rPr>
        <w:t>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</w:t>
      </w:r>
      <w:r>
        <w:rPr>
          <w:rFonts w:ascii="Sylfaen" w:hAnsi="Sylfaen" w:cs="Sylfaen"/>
        </w:rPr>
        <w:t>თეულისა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მცენარეებიდან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მერქნული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მერქნუ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ადგილწარმოშობის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14:paraId="313FA6D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ტრანსპორტირება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მრგვალი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ტრანსპორტირება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ფირნიშით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.“.</w:t>
      </w:r>
    </w:p>
    <w:p w14:paraId="71F171CE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ოდექსს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93</w:t>
      </w:r>
      <w:r>
        <w:rPr>
          <w:rFonts w:ascii="Sylfaen" w:hAnsi="Sylfaen" w:cs="Sylfaen"/>
          <w:position w:val="12"/>
        </w:rPr>
        <w:t xml:space="preserve">1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14:paraId="56A7DFE6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93</w:t>
      </w:r>
      <w:r>
        <w:rPr>
          <w:rFonts w:ascii="Sylfaen" w:hAnsi="Sylfaen" w:cs="Sylfaen"/>
          <w:position w:val="12"/>
        </w:rPr>
        <w:t xml:space="preserve">1 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მერქნული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</w:p>
    <w:p w14:paraId="01456256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მერქნული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მერქნული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მერქნული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.“.</w:t>
      </w:r>
    </w:p>
    <w:p w14:paraId="5DDA204F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108-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</w:t>
      </w:r>
      <w:r>
        <w:rPr>
          <w:rFonts w:ascii="Sylfaen" w:hAnsi="Sylfaen" w:cs="Sylfaen"/>
        </w:rPr>
        <w:t>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41650D8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108.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</w:p>
    <w:p w14:paraId="37281AC1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ტყეების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გაშენების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ტყითსარგებლობის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</w:t>
      </w:r>
      <w:r>
        <w:rPr>
          <w:rFonts w:ascii="Sylfaen" w:hAnsi="Sylfaen" w:cs="Sylfaen"/>
        </w:rPr>
        <w:t>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>.“.</w:t>
      </w:r>
    </w:p>
    <w:p w14:paraId="18971F01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 116-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788D2860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-40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14:paraId="5A52E1DC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38AF9FD8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  <w:r>
        <w:rPr>
          <w:rFonts w:ascii="Sylfaen" w:hAnsi="Sylfaen" w:cs="Sylfaen"/>
          <w:b/>
          <w:bCs/>
          <w:i/>
          <w:iCs/>
        </w:rPr>
        <w:t xml:space="preserve"> </w:t>
      </w:r>
    </w:p>
    <w:p w14:paraId="44940307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</w:rPr>
      </w:pPr>
    </w:p>
    <w:p w14:paraId="7D44EA0C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ქუთაისი</w:t>
      </w:r>
      <w:r>
        <w:rPr>
          <w:rFonts w:ascii="Sylfaen" w:hAnsi="Sylfaen" w:cs="Sylfaen"/>
        </w:rPr>
        <w:t>,</w:t>
      </w:r>
    </w:p>
    <w:p w14:paraId="57D3CBA3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25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 xml:space="preserve"> 2013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>.</w:t>
      </w:r>
    </w:p>
    <w:p w14:paraId="73382106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N465-</w:t>
      </w:r>
      <w:r>
        <w:rPr>
          <w:rFonts w:ascii="Sylfaen" w:hAnsi="Sylfaen" w:cs="Sylfaen"/>
        </w:rPr>
        <w:t>რს</w:t>
      </w:r>
    </w:p>
    <w:p w14:paraId="4B57EA33" w14:textId="77777777" w:rsidR="00000000" w:rsidRDefault="00700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061B"/>
    <w:rsid w:val="007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D29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