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2F3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02974B9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13AB373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კოოპერატივის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4402F7F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0F0214F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14:paraId="573AA53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FE1472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073C65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748DA8EF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14:paraId="7996E02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C21D27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საოჯახო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კოოპერირება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სიცოცხლისუნარიანობის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გაძლიერება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2894162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აღორძინების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422470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20BE396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სიღარიბის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D26B7A0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15F4F9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რენტაბ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07C2A5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67236EF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06B2400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14:paraId="7F4FE24C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6A98AE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ფრინველის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აბრეშუმის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ფუტკრის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დაფასოებას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გადაზიდვასა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1436FC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აკვაკულტურა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ფრინველის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აბრეშუმის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ფუტკრის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შეფუთვას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(24.06.2020.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№6415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40"/>
          <w:szCs w:val="40"/>
          <w:lang w:val="en-US"/>
        </w:rPr>
        <w:t>)</w:t>
      </w:r>
    </w:p>
    <w:p w14:paraId="332307C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ფრინველის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აბრეშუმის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ფუტკრის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­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გადაზიდვისა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1EED7E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2DE8F7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F3399EF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ხვედრითი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9A5326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18B6553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BBAD4B3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97ED608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№5498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14:paraId="21E5C640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№5498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14:paraId="06F35AD2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0EFEE66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F999D2A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32F337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დემოკრატიული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4D73D7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წონასწორობა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5CFBA1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A2E38AF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A4192AE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აკუმულირებული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0A4CF6B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B5E3CF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5F14EE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56D7B96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42B311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807F6B0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48F668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14:paraId="7C5DF3E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63E0F4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1B9D546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</w:p>
    <w:p w14:paraId="51378FB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B91E6B4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4C7C3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დემოკრატიული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45B78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99F5BD6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9302C0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DD49B4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6162F2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1DAEC4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C6484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8D0AD8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89E020A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შეწყვეტა</w:t>
      </w:r>
    </w:p>
    <w:p w14:paraId="70C105F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80F71E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391B7B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41803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E048D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576D46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07D200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ურთიერთვალდებულებებისა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100CFD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CF083A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17B4308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0C758F6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trike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AAC862F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A48CBB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B7C763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68F88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144664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DD25E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003AB8A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D8B5CF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C39687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D7261BA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1C0E9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769620C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წესდება</w:t>
      </w:r>
    </w:p>
    <w:p w14:paraId="60E324FF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0F4526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5DC759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989AF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7EDA64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F8CF92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40452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2A9FB8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2253E4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F9050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41D386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15CA58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აკუმულირება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48055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00A7E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C361A98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2A6EC3E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C1FB1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N1643) </w:t>
      </w:r>
    </w:p>
    <w:p w14:paraId="04CB534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74709DD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521DCE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4E3C5B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6E44B3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4E787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706D96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28CCBC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22433FCF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შეწყვეტა</w:t>
      </w:r>
    </w:p>
    <w:p w14:paraId="08F3B74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8C9DDE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53B87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D8B89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E2E99B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CC4DCF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D1E4E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3483310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DBB3EC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9226AC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E2685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C9422C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ქონება</w:t>
      </w:r>
    </w:p>
    <w:p w14:paraId="2AFC5BCA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E5A2B00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3077F0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762354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3631FE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(11.11.2015 N4495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F28CD5D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5B5ECC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B50952C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778364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F854F8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DE06611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4B867F4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178C3F3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101FF9F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4B82F09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F13B0E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7374EB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594219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49940C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C15778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455888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622D40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6ED3E8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C43517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35639D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3B309D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9C4C1D0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4C2D0B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68C8BA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E95738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C3DC69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EB4C2F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D68F14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43BC13E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712C3C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BAC2ED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D4E2B9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0AD13D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09D891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2C6107D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734EC6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A1C0B9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6B34EC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DA3905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2CA5541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354953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პერატივთან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4ABD29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47ADBA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E09EA0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განაწილება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(11.11.2015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3222BC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26B727E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143C2A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65502C8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6587F4F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18CC92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6CD2D4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E10E64" w14:textId="77777777" w:rsidR="00000000" w:rsidRDefault="00A022A7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F20A70" w14:textId="77777777" w:rsidR="00000000" w:rsidRDefault="00A022A7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874B0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056D577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სანერგე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სათესლე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გამრავლებისათვის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48026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922BBF" w14:textId="77777777" w:rsidR="00000000" w:rsidRDefault="00A022A7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ხელშეწყობა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(11.12.</w:t>
      </w:r>
      <w:r>
        <w:rPr>
          <w:rFonts w:ascii="Sylfaen" w:hAnsi="Sylfaen" w:cs="Sylfaen"/>
          <w:sz w:val="20"/>
          <w:szCs w:val="20"/>
          <w:lang w:eastAsia="x-none"/>
        </w:rPr>
        <w:t xml:space="preserve">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№5498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</w:p>
    <w:p w14:paraId="11A52CE9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8B8970D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878E3D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687CB2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849DE5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AA1CE1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22B08B" w14:textId="77777777" w:rsidR="00000000" w:rsidRDefault="00A022A7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DB7EF1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A1B11B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B140C36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6B253E52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D4AD4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0930D4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A2DDE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(11.11.2015 N4495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228ADAE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N1140)</w:t>
      </w:r>
    </w:p>
    <w:p w14:paraId="2D9BCB3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CD0097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6408308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-10–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3ADFD9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-10–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AA46C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69E39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E4CBA2D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8F0B2C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0AAC3AA7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52DDD5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N816-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14:paraId="6214E618" w14:textId="77777777" w:rsidR="00000000" w:rsidRDefault="00A02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022A7"/>
    <w:rsid w:val="00A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98E6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4275</Words>
  <Characters>24372</Characters>
  <Application>Microsoft Office Word</Application>
  <DocSecurity>0</DocSecurity>
  <Lines>203</Lines>
  <Paragraphs>57</Paragraphs>
  <ScaleCrop>false</ScaleCrop>
  <Company/>
  <LinksUpToDate>false</LinksUpToDate>
  <CharactersWithSpaces>28590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