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77F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3215807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7DEE313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პოლიციის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35E3F37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04FFCAE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14:paraId="64182CB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14:paraId="0E77C9F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248CA52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14:paraId="42A8DCD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32D718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16A570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799D72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73E0AA3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14:paraId="0CEE19A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55A0AD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სუვერენიტეტის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მთლიანობისა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წყობილების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ურღვევობა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A5E62F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მართლწესრიგი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ტრადიციებითა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ზნეობრივი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ონმდებლობას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206C86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მოვლენათა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შეუფერხებელი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მსვლელობის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ალბათობით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სიკეთეს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9425C1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ვარაუდისთვ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დააკმაყოფილებდა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დამკვირვებელს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გასაკეთებლად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1D3242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რეალაქტი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წარმოშობისაკენ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შეცვლისაკენ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შეწყვეტისაკენ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დადგომისაკენ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C1E276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სადაზვერვო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კონტრდაზვერვითი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სარეჟიმო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ტაქტიკური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BD9BE2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B61D3E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პოლიცია</w:t>
      </w:r>
    </w:p>
    <w:p w14:paraId="330B6C6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849C42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0F773E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მოწყობა</w:t>
      </w:r>
    </w:p>
    <w:p w14:paraId="5026F77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მოხელეები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14:paraId="01F00B5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0F0A9A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მსახურობს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წოდებები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BAA493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ტექსტს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14:paraId="2EC774A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4D33B4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14:paraId="2696025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კონსტიტუცია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3E56F0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პოლიციელებსა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3E0E65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>(21.04.2017. N713)</w:t>
      </w:r>
    </w:p>
    <w:p w14:paraId="15F2459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lastRenderedPageBreak/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გამოცემასა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A63A61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სამართალდარღვევაზე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BE8899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12F344A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0"/>
          <w:szCs w:val="20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თანამშრომლობა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0"/>
          <w:szCs w:val="20"/>
          <w:lang w:eastAsia="x-none"/>
        </w:rPr>
        <w:t xml:space="preserve">(08.07.2015. N3922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hAnsi="Sylfaen" w:cs="Sylfaen"/>
          <w:sz w:val="20"/>
          <w:szCs w:val="20"/>
          <w:lang w:eastAsia="x-none"/>
        </w:rPr>
        <w:t>)</w:t>
      </w:r>
    </w:p>
    <w:p w14:paraId="199D18C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ნაცვალგების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პრინციპსა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რეგიონალურ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CD466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ინტერპოლის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სამდივნოსთან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მჭიდრო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7013377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C43736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15.07.2020. №6919)</w:t>
      </w:r>
    </w:p>
    <w:p w14:paraId="32ADE4B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თანამშრომლობს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ხელისუფ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ორგანოებთან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№6919)</w:t>
      </w:r>
    </w:p>
    <w:p w14:paraId="542B4AB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DD53D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E5923B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27AD5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B31962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85A552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</w:t>
      </w:r>
    </w:p>
    <w:p w14:paraId="7C824E5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</w:p>
    <w:p w14:paraId="2E03C21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61398A4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</w:p>
    <w:p w14:paraId="7779A54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ნეიტრალობისა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C72B9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E0887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DF143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პატივისცემის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პრინციპი</w:t>
      </w:r>
    </w:p>
    <w:p w14:paraId="64167E0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EDD7C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არაადამიანური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დამამცირებელი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მოპყრობა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7B526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E14BE8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პრინციპი</w:t>
      </w:r>
    </w:p>
    <w:p w14:paraId="2CDD8EE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C0936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E4B66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37812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161FA20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დაუშვებლობის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№6837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6C5725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FC16AB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A2713B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თანაზომიერების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პრინციპი</w:t>
      </w:r>
    </w:p>
    <w:p w14:paraId="482D3B2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4282C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9F2C8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გიტიმური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7C585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56C46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B9440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73017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პრინციპი</w:t>
      </w:r>
    </w:p>
    <w:p w14:paraId="0A0B9B3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დისკრეციული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4EE2F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6661A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5BDB6A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154D8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E4D2A7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ნეიტრალობის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პრინციპი</w:t>
      </w:r>
    </w:p>
    <w:p w14:paraId="0162BD9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უპარტიობის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104A0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FF5F31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გამჭვირვალობის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პრინციპი</w:t>
      </w:r>
    </w:p>
    <w:p w14:paraId="597CD11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6F321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გაახმაუროს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E2173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A177E9" w14:textId="77777777" w:rsidR="00000000" w:rsidRDefault="00AF2125">
      <w:pPr>
        <w:pStyle w:val="abzacixml"/>
        <w:spacing w:line="20" w:lineRule="atLeast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№3319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1822B2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9BEDE7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14:paraId="1A69974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უფლებამოსილებანი</w:t>
      </w:r>
    </w:p>
    <w:p w14:paraId="5FDE72E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73EA495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ფუნქციები</w:t>
      </w:r>
    </w:p>
    <w:p w14:paraId="7E0CE83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034B29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0B3F80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3F5F6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3C3FC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hAnsi="Sylfaen" w:cs="Sylfaen"/>
          <w:position w:val="13"/>
          <w:sz w:val="24"/>
          <w:szCs w:val="24"/>
          <w:lang w:eastAsia="x-none"/>
        </w:rPr>
        <w:t>1</w:t>
      </w:r>
      <w:r>
        <w:rPr>
          <w:rFonts w:ascii="Sylfae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მოძებნაში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დახმარება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№1576)</w:t>
      </w:r>
    </w:p>
    <w:p w14:paraId="4F684A3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F47A1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FCE18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65E1B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ანალიზი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91479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სანებართვო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73DCA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E484A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C1C4E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რალეგალურ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არალეგალური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AC6BC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თავშესაფრის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მაძიებლის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ლტოლვილის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№3100)</w:t>
      </w:r>
    </w:p>
    <w:p w14:paraId="3BB057B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20C7F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A41E1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იტუაციებზე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(07.12.2017. N1683)</w:t>
      </w:r>
    </w:p>
    <w:p w14:paraId="1622CCE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კრიმინალისტიკური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01B28A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იზოლატორში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CF4A3F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№1036)</w:t>
      </w:r>
    </w:p>
    <w:p w14:paraId="1042B47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№1036)</w:t>
      </w:r>
    </w:p>
    <w:p w14:paraId="6A10FCA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8B8CBC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უფლებამოსილებანი</w:t>
      </w:r>
    </w:p>
    <w:p w14:paraId="546EBE4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787797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4BE73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გარშემომყოფთ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F1A45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სტრატეგიული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3A470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C435B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მაწანწალობის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უმეთვალყურეობის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E4D29E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4CA7B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CB889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მოწოდებული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საფუძველ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მსხვერპლისათვის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მოძალადის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გაქცევის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27-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აღკ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ვეთის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ხანმოკლე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71</w:t>
      </w:r>
      <w:r>
        <w:rPr>
          <w:rFonts w:ascii="Calibri" w:eastAsia="Times New Roman" w:hAnsi="Calibri" w:cs="Calibri"/>
          <w:color w:val="333333"/>
          <w:position w:val="6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color w:val="333333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გათავისუფლებისთვის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თავისუფლების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დაწესებულებიდან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ძალადო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color w:val="333333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№5032)</w:t>
      </w:r>
    </w:p>
    <w:p w14:paraId="7F44435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ხელშეუხებლობის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(17.03.2020.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№5768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D8B18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მფლობელობიდან</w:t>
      </w:r>
      <w:r>
        <w:rPr>
          <w:rFonts w:ascii="Calibri" w:hAnsi="Calibri" w:cs="Calibri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ძებნის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ბლოკირების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№1576)</w:t>
      </w:r>
    </w:p>
    <w:p w14:paraId="2C1E8B9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ADDDEB9" w14:textId="77777777" w:rsidR="00000000" w:rsidRDefault="00AF2125">
      <w:pPr>
        <w:spacing w:after="0" w:line="20" w:lineRule="atLeast"/>
        <w:ind w:firstLine="62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(4.05.2017. N765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B621E5" w14:textId="77777777" w:rsidR="00000000" w:rsidRDefault="00AF2125">
      <w:pPr>
        <w:spacing w:after="0" w:line="20" w:lineRule="atLeast"/>
        <w:ind w:firstLine="62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შემაკავებელ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შემაკავებელი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ორდერებით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23F1AFF" w14:textId="77777777" w:rsidR="00000000" w:rsidRDefault="00AF2125">
      <w:pPr>
        <w:spacing w:after="0" w:line="20" w:lineRule="atLeast"/>
        <w:ind w:firstLine="62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FB6315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14EA2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დასამაგრებლად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მოძალადის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(13.07.2020.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№6761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14:paraId="2968C07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</w:t>
      </w:r>
    </w:p>
    <w:p w14:paraId="32ACD30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(11.12.2015.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N4627)</w:t>
      </w:r>
    </w:p>
    <w:p w14:paraId="2B286AB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ჩამოაშორებს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სიმთვრალის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891D62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მოიხმარა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D1657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2D80A3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DACA5DC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63CF0D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თვალყურის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აუდიოჩაწერა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ფოტოგადაღება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470AEF4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კრიმინალისტიკურ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</w:p>
    <w:p w14:paraId="098B450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მოძებნაში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EE4C2A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0CBD6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CB543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69969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CC41BC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სამაშველო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დაზარალებულ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უმწეო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აღმოუჩენს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ეპიდემიისა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ეპიზოოტიის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საკარანტინო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6AFFE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სამობილიზაციო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E833D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სასწრაფო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წნევის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ცვალებადობის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მომარაგების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წნევის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ცვალებადობისა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1A4AD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3B55A9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60455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არალეგალურ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არალეგალური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მიგრაციისა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გადამკვეთ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№3100)</w:t>
      </w:r>
    </w:p>
    <w:p w14:paraId="6B5009B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1982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90C04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2CB902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№6057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C26682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6E34878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5FE2C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18B0B0A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ქსელებითა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/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დანაშაულის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კომუნიკაციო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ბლოკირების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ბლოკირების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შტამპის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№1576)</w:t>
      </w:r>
    </w:p>
    <w:p w14:paraId="4E333AF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8.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მოწვევასა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გამოკითხვას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სათანად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საფუძვლების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არსებობისას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მობილური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საკომუნიკა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ციო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აღჭურვილობის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განმცხადებლისთვის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გადაცემას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№1576)</w:t>
      </w:r>
    </w:p>
    <w:p w14:paraId="1E695E9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5E6B6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14:paraId="004BDA4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</w:p>
    <w:p w14:paraId="79020A5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5E54AEE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სამართალდარღვევაზე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ები</w:t>
      </w:r>
    </w:p>
    <w:p w14:paraId="71C7051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B1C665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8F80B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497CE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D49083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CC706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01249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E49FE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D7108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A0BF1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CF9ED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0E3F1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997B8D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9AD54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გარეგნული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F45E4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(12.06.2015. N3712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D1BC1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828657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გამოკითხვა</w:t>
      </w:r>
    </w:p>
    <w:p w14:paraId="10C8594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გამოჰკითხოს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11689C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გარეგნული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AFA67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91750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842581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39609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3A4CB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გარეგნული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მიანიშნებს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9E624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(01.12.2021. </w:t>
      </w:r>
      <w:r>
        <w:rPr>
          <w:rFonts w:ascii="Sylfaen" w:eastAsia="Times New Roman" w:hAnsi="Sylfaen" w:cs="Sylfaen"/>
          <w:lang w:val="ka-GE" w:eastAsia="ka-GE"/>
        </w:rPr>
        <w:t>№1036)</w:t>
      </w:r>
    </w:p>
    <w:p w14:paraId="4A2DD892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გამოჰკით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14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№1576)</w:t>
      </w:r>
    </w:p>
    <w:p w14:paraId="5BDA468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შეუშლის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გამოკითხვის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№1576)</w:t>
      </w:r>
    </w:p>
    <w:p w14:paraId="5FCFD18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2A5FBE3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იდენტიფიკაცია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lang w:val="ka-GE" w:eastAsia="ka-GE"/>
        </w:rPr>
        <w:t>№1036)</w:t>
      </w:r>
    </w:p>
    <w:p w14:paraId="74BD171E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სირთულეებთანაა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2CCA12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250C4DD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ხელისგულის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ანაბეჭდების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9D588F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5B2C9B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დამახასიათებელი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ECB1B2A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გაზომვა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DDE09E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FED662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731DEE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ბიომეტრიული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დაფიქსირ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501360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03EA2C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3B587A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BE0688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0D4A7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24EDFCB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904B15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მოწვევა</w:t>
      </w:r>
    </w:p>
    <w:p w14:paraId="24149E5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60C395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018DF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B0D74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3FE41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შეტყობინებისას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უნდა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განემარტოს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ნებაყოფლობითია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hAnsi="Sylfaen" w:cs="Sylfaen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91DEE7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5145B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EC16B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30E60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თანმხლები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EF4F86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E95B4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დათვალიერება</w:t>
      </w:r>
    </w:p>
    <w:p w14:paraId="3160B6C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5091E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BFB6D0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92219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სიახლოვეს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რადიუსში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1EC63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იკრიბებიან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3A60BB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1C0AB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2D4519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4B0DC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5BA7A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F3B021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CBF92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საბარგულის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ვიზუალურ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22546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0D3B0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9E513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წუთს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9D698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მეზობელი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ხელმომწერ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დასათვალიერებელი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E5C6F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0DEB2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B03550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დათვალიერება</w:t>
      </w:r>
    </w:p>
    <w:p w14:paraId="69E2560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აღმოსაჩენად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0BD60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01F02A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B5329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უმწეო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62524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FB2EF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ძალისხმევას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ლსაწყოთი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462E1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62660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3F1975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482BF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ეკიპაჟისა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9CC700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სანავიგაციო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სანაოსნო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გარემოსდაცვითი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F1FA8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250C4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549D3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ჩხრეკას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2115C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4CA33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</w:p>
    <w:p w14:paraId="681D886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06F66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282B4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113CC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556D0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ვიდეოგადამღები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45152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49C1C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აკრძალვა</w:t>
      </w:r>
    </w:p>
    <w:p w14:paraId="5F9AC64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B48DD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B2765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724CB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CF58D9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შეზღუდვა</w:t>
      </w:r>
    </w:p>
    <w:p w14:paraId="034527B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F11F6E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F3A61E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C9AA5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97940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16CFF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36426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9F32C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E6CCF31" w14:textId="77777777" w:rsidR="00000000" w:rsidRDefault="00AF2125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ფოტოტექნიკის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რადარის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(21.04.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557A25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დაამონტაჟოს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ფოტოვიდეოტექნიკა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№1036)</w:t>
      </w:r>
    </w:p>
    <w:p w14:paraId="4D3BB422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ზეგავლენისგან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7A5C43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323D00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55AE77D" w14:textId="77777777" w:rsidR="00000000" w:rsidRDefault="00AF21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გამტარ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6B6F92FB" w14:textId="77777777" w:rsidR="00000000" w:rsidRDefault="00AF21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№5613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2668897" w14:textId="77777777" w:rsidR="00000000" w:rsidRDefault="00AF21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92E7CB" w14:textId="77777777" w:rsidR="00000000" w:rsidRDefault="00AF21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საპატრულო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დაამონტაჟოს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სიჩქარის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შესასვლელებსა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გამოსასვლელში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გამოსასვლელებში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D30F8A" w14:textId="77777777" w:rsidR="00000000" w:rsidRDefault="00AF212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სიჩქარის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სიჩქარის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საგზაო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არქივება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08153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სიჩქარის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2206F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57114F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გამოყენება</w:t>
      </w:r>
    </w:p>
    <w:p w14:paraId="2E3EBB5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A5265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BC7A2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A6D38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0DC61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ციელება</w:t>
      </w:r>
    </w:p>
    <w:p w14:paraId="04748D3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სამძებრო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592C7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60B129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1D50A6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</w:t>
      </w:r>
    </w:p>
    <w:p w14:paraId="34FC688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</w:p>
    <w:p w14:paraId="5242165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4C5F327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</w:t>
      </w:r>
    </w:p>
    <w:p w14:paraId="7B20B20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05BE2A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14298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14:paraId="308993E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ინტენსივობით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FBF4C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EAA42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A7490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ინტენსიურობა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სიტუაციის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შეეცადო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4AA410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აღმოუჩინოს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8C8F9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6C7D1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E08169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გამოყენება</w:t>
      </w:r>
    </w:p>
    <w:p w14:paraId="1757E8B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ორთაბრძოლის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არაძალისმიერი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87752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A5DCE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18D9F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6FCF1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გამოყენება</w:t>
      </w:r>
    </w:p>
    <w:p w14:paraId="4B67D1A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E31E5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ჯავშანჟილეტი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ჩაფხუტი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აირწინაღი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სხეულის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105A5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უსპობს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ხელბორკილი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შებორკვის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ცრემლსადენი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წიწაკის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შუქბგერითი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დამანგრეველი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წყალსატყორცნი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ჯავშანმანქანა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საღებავი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ძაღლი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ელექტროშოკური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შესაბოჭი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A6731F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ხელბორკილი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შებორკვის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უძალიანდება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გაუძალიან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ბადრაგირებისას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F4D9E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5922F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ცრემლსადენი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წიწაკის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არალეტალური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ჭურვი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D9FAE8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შუქბგერითი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შეჭრილი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გამოსაძევებლად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F8605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გასაჩერებლად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094D2E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დამანგრეველი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6AE37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ლსატყორცნი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ჯავშანმანქანა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გასაჩერებლად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A460D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საღებავი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24A69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ძაღლი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ბადრაგირებისას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180AC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სასამსახურო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62744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ელექტროშოკური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135E3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შესაბოჭი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მოსაგერიებლად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თავდამსხმელის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აპყრობად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1189F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E7A95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58675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8059E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04E33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</w:p>
    <w:p w14:paraId="108D334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F43E0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FB5A5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ლეგიტიმური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დემონსტრირება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C6B63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გამიზნული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გასროლა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4955A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66833F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9FA44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თავისუფლებააღკვეთილის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გასათავისუფლებლად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6E7EE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B0648F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2A13A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40EB6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9379F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მძღოლი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არაერთგზის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გაჩერებ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BA4D9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გესვრი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!“,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გასროლა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გამაფრთხილებელი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გასროლა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3EC24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5AF779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მექანიკური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8B508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გაქცევისას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9DADE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26373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ნგაშის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გამოსაძახებლად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21E65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აღსაკვეთად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8E86D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სასიკვდილოდ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დასნებოვნებული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შესაწყვეტად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გადაჭრა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D90F2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სასიკვდილოდ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27F5F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ცეცხლსაშიშ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აფეთქებასაშიშ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უკიდურესი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1486B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80B68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E64A2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B7AB8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იძულების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შეზღუდვა</w:t>
      </w:r>
    </w:p>
    <w:p w14:paraId="5E3C79C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ორსულობის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მცირეწლოვნობის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ესხმიან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მოგერიება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191E1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A50F4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6491C3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</w:p>
    <w:p w14:paraId="0DCB837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</w:t>
      </w:r>
    </w:p>
    <w:p w14:paraId="537FCCF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8E6096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14:paraId="5C04663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D196E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მანიფესტაციაში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98119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E77B4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სახაზინო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70960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38587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14:paraId="2BA6C9D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99F33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შეარჩევენ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13F14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საგანმანათლებლო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1BED0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614D9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დოკუმენტბრუნვის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EB1D4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CE40D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999BF2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სტაჟიორის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პრაქტიკანტისა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შემოწმება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(01.12.2021. </w:t>
      </w:r>
      <w:r>
        <w:rPr>
          <w:rFonts w:ascii="Sylfaen" w:eastAsia="Times New Roman" w:hAnsi="Sylfaen" w:cs="Sylfaen"/>
          <w:lang w:val="ka-GE" w:eastAsia="ka-GE"/>
        </w:rPr>
        <w:t>№1036)</w:t>
      </w:r>
    </w:p>
    <w:p w14:paraId="470073B9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7644DC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ამოცანებთან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შემშლელი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5E07E53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FF2466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შეზღუდვები</w:t>
      </w:r>
    </w:p>
    <w:p w14:paraId="3C82BC5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E7F81E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A7A59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88FCC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N3346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055630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C531D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დასაკავებლად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15588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ალკოჰოლიზმით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ნარკომანიით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ტოქსიკომანიით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სნეულებით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სნეულებათა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(05.07.2018.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№3100)</w:t>
      </w:r>
    </w:p>
    <w:p w14:paraId="3BF1E39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B5330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739A9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FD6C4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14:paraId="6D3034E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69D8C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0AE554A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39</w:t>
      </w:r>
      <w:r>
        <w:rPr>
          <w:rFonts w:ascii="Sylfaen" w:hAnsi="Sylfaen" w:cs="Sylfaen"/>
          <w:b/>
          <w:bCs/>
          <w:position w:val="13"/>
          <w:sz w:val="24"/>
          <w:szCs w:val="24"/>
          <w:lang w:eastAsia="x-none"/>
        </w:rPr>
        <w:t>1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საჭიროებიდან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გამომდინარე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თანაბარ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ტოლფას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გადაყვანა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(24.05.2022.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№1576)</w:t>
      </w:r>
    </w:p>
    <w:p w14:paraId="0B0AA944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გადაწყვეტილებითა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ტოლფას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ტერიტორიულად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ვადით</w:t>
      </w:r>
      <w:r>
        <w:rPr>
          <w:rFonts w:ascii="Sylfaen" w:hAnsi="Sylfaen" w:cs="Sylfaen"/>
          <w:sz w:val="24"/>
          <w:szCs w:val="24"/>
          <w:lang w:val="ka-GE" w:eastAsia="ka-GE"/>
        </w:rPr>
        <w:t>. 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hAnsi="Sylfaen" w:cs="Sylfaen"/>
          <w:sz w:val="24"/>
          <w:szCs w:val="24"/>
          <w:lang w:eastAsia="x-none"/>
        </w:rPr>
        <w:t>.</w:t>
      </w:r>
    </w:p>
    <w:p w14:paraId="330C3DB7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განათლების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კვალიფიკაცი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7A86F2B" w14:textId="77777777" w:rsidR="00000000" w:rsidRDefault="00AF2125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ბრუნდება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შეუძლებელია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ინიშნება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ესაბამის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ტოლფას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თუ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უარს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იგი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13BDAEB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გამომდინარე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ტოლფას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გადაყვანის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გარდა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EE4AA7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56CD7C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გადაყენება</w:t>
      </w:r>
    </w:p>
    <w:p w14:paraId="4B9F800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ბრალდებულად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0075D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9B5DAB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094E3B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14:paraId="4AEFDA2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E904C9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D697C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89177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56F5B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1D6F7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4AA12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A14CBC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DB5CA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C7D483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D47EA2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გადასვლასთან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AEFA0C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F7E9B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CE72F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1C506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44885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2FF33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92248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აყვანა</w:t>
      </w:r>
    </w:p>
    <w:p w14:paraId="3590149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3723AD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4767F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E6BB13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7A5FF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BFD4C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51C40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ADA518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მომზადება</w:t>
      </w:r>
    </w:p>
    <w:p w14:paraId="1476941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1C0D5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(21.07.20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338E4C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8AC764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ამაღლება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B42B4E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921AD7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წოდებები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პოლიციაში</w:t>
      </w:r>
    </w:p>
    <w:p w14:paraId="5C09BCD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9EB74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E9446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გამოტოვებით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F307B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7B52D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მისანიჭებლად</w:t>
      </w:r>
    </w:p>
    <w:p w14:paraId="3625E2C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უმცროსი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7938D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მისანიჭებლა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858BE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ატესტაციის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5619C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27CBD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წახალისება</w:t>
      </w:r>
    </w:p>
    <w:p w14:paraId="78C4148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სანიმუშოდ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55470F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7D5E4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N1938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95F73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საჩუქრით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3A191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სიგელით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E1DAA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8E1B3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მედალიონით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3B647E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F10A4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237FA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E54FA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2CE08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ჯილდოზე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AD890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6DEAE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D90C8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C1D5B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304B9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2D164C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ტანსაცმელი</w:t>
      </w:r>
    </w:p>
    <w:p w14:paraId="46132C1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8F180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ჟეტონი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992AFE" w14:textId="77777777" w:rsidR="00000000" w:rsidRDefault="00AF2125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№4321)</w:t>
      </w:r>
    </w:p>
    <w:p w14:paraId="13132E7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ჟეტონის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№4321)</w:t>
      </w:r>
    </w:p>
    <w:p w14:paraId="61E9423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C9D6B4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14:paraId="4E28767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14:paraId="015511D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79931F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14:paraId="0B1E2BD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85BAD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5E9A9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მუქარა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5E22D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ლიციელმა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სცოდნოდა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6B9FF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E3DAD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4F080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F2D40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BDA75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7C9FD1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14:paraId="2B001E1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8E7EE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A6CF4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კადრების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496C0BC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0C915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საპენსიო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A31358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DEBA2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დათხოვნილ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დანაყოფის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მსმენელთა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(08.07.2015. N3922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აგვი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სტოდან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7995D8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A54C8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ბალანსზე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მიმაგრებული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ფართობი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7573A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DE3296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დაღუპვა</w:t>
      </w:r>
    </w:p>
    <w:p w14:paraId="0EB957A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თხუთმეტი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საფლავის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(03.07.2015 N3895)</w:t>
      </w:r>
    </w:p>
    <w:p w14:paraId="77644A5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შეპყრობისას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დამნაშავეობასთან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ბრძოლისას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შეტაკებისას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გადარჩენისას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საფლავის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(03.07.2015 N3895)</w:t>
      </w:r>
    </w:p>
    <w:p w14:paraId="5D8550B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ასიგნებების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7727D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ჭრილობების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ენიშნებათ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სტიპენდიის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(03.07.2015 N3895)</w:t>
      </w:r>
    </w:p>
    <w:p w14:paraId="1C3F6FD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8B3638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დაზიანება</w:t>
      </w:r>
    </w:p>
    <w:p w14:paraId="24FEF22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39C015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7 000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2ECD55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C0C61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მსუბუქი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2 000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7D353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განათლებისა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6EF09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უმუშევრობის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10ECD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5B6E2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9D3A1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დრო</w:t>
      </w:r>
    </w:p>
    <w:p w14:paraId="01CA442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ანორმირებული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A422D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D97A2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ექსტრემალური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31330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7F077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შვებულება</w:t>
      </w:r>
    </w:p>
    <w:p w14:paraId="2E4ECA3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B11D6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C144A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გასაგრძელებლად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973341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3A1975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ხელფასი</w:t>
      </w:r>
    </w:p>
    <w:p w14:paraId="5937C7A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F37D2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161EE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AD8CC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AFE222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14:paraId="1271220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</w:p>
    <w:p w14:paraId="1933946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6AD0104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მატ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ერიალურ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</w:p>
    <w:p w14:paraId="4B0E234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6B40F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A8211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0A55C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</w:t>
      </w:r>
    </w:p>
    <w:p w14:paraId="4D89BF1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</w:p>
    <w:p w14:paraId="38756CC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BDA5BA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გასაჩივრება</w:t>
      </w:r>
    </w:p>
    <w:p w14:paraId="52FA848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დაირღვა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BA589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E4E81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საპოლიციო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A817A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A0AAC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C45BD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შიდა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</w:p>
    <w:p w14:paraId="23047F9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9F323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5780C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F4A06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ABB1D4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მართლსაწინააღმდეგო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რეაგირებას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76043E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სამეურნეო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18E2F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ნაკლოვანებების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C7B12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E3674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გენერალურ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პროკურატურას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№1324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FDE74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89EA2D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კონტროლი</w:t>
      </w:r>
    </w:p>
    <w:p w14:paraId="18DA5C0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საპარლამენტო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საპროკურორო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09B31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B29445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პოლიციელისა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პასუხისმგებლობა</w:t>
      </w:r>
    </w:p>
    <w:p w14:paraId="292E96A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56DD4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სპეცკონტინგენტისგან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იზოლირებულად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74181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6CC9A1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407AF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BA0CF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სასტიკი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საყვედური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28FC176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FDAE1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საფეხურით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ჩამოქვეითება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20CD3F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ჩამოქვეითება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2B9CB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28F6D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92A3C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A28F1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E58583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</w:p>
    <w:p w14:paraId="6E3D47A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3FF23C9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0C2B6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2CE8E1A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D24E2E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(21.07.2018.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№3270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0B22D7E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სანაპირო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კატარღის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C23E3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0D8C64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სივრცის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(21.07.2018.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№3270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ნოემბრიდან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3A670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ექსპლუატაციის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ნაგებობათა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პერიმეტრზე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დამონტაჟება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(19.12.2019.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№5613)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</w:p>
    <w:p w14:paraId="368F795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92E14D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E280B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714CBF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099E17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A6ADD1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B136F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9679A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წოდებრივი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დანამატი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CC4A514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საწვავით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FDA6D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F6CC5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წვევამდელის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098D8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884EA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3E8DB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ტანსაცმელი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ატრიბუტიკა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CFD45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მედალიონისა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მედალიონითა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დაჯილდოების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512CBAD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ფასეულობათ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ინკასირების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1C882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შეიარაღებაში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იარაღის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საბრძოლო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A05E57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ზედაპირული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501A75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13AEB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(20.03.2015. N3346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</w:p>
    <w:p w14:paraId="4723069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(11.12.2015. N4627)</w:t>
      </w:r>
    </w:p>
    <w:p w14:paraId="25BF98D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ამოსაცნობი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ავტომატური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ვიდეოტექნიკის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სიჩქარის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(21.04.2017. N713)</w:t>
      </w:r>
    </w:p>
    <w:p w14:paraId="4257DB88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F8DBF4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3BF0F771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651774E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№9, 1993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187);</w:t>
      </w:r>
    </w:p>
    <w:p w14:paraId="1E5AA93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№49, 29.12.2006,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377).</w:t>
      </w:r>
    </w:p>
    <w:p w14:paraId="171AF143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A64CFC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9E461D9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98A96E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ka-GE" w:eastAsia="ka-GE"/>
        </w:rPr>
        <w:t>სააკაშვილი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4CAEF70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85049E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4B3098FB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69C282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N1444-I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E57A93A" w14:textId="77777777" w:rsidR="00000000" w:rsidRDefault="00AF21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cademiury-IT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F2125"/>
    <w:rsid w:val="00A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6DCB6F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</w:rPr>
  </w:style>
  <w:style w:type="paragraph" w:customStyle="1" w:styleId="abzacixml">
    <w:name w:val="abzaci_xml"/>
    <w:basedOn w:val="PlainText"/>
    <w:uiPriority w:val="99"/>
    <w:pPr>
      <w:spacing w:after="0" w:line="240" w:lineRule="auto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cademiury-ITV" w:hAnsi="Academiury-ITV" w:cs="Academiury-ITV"/>
      <w:sz w:val="28"/>
      <w:szCs w:val="28"/>
    </w:rPr>
  </w:style>
  <w:style w:type="paragraph" w:styleId="Caption">
    <w:name w:val="caption"/>
    <w:basedOn w:val="Normal"/>
    <w:next w:val="Normal"/>
    <w:uiPriority w:val="99"/>
    <w:qFormat/>
    <w:pPr>
      <w:spacing w:before="120" w:after="120" w:line="240" w:lineRule="auto"/>
    </w:pPr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spacing w:after="0" w:line="240" w:lineRule="auto"/>
      <w:ind w:left="100" w:firstLine="7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character" w:customStyle="1" w:styleId="abzacixmlChar">
    <w:name w:val="abzaci_xml Char"/>
    <w:basedOn w:val="DefaultParagraphFont"/>
    <w:uiPriority w:val="99"/>
    <w:rPr>
      <w:rFonts w:cs="Sylfae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13016</Words>
  <Characters>74195</Characters>
  <Application>Microsoft Office Word</Application>
  <DocSecurity>0</DocSecurity>
  <Lines>618</Lines>
  <Paragraphs>174</Paragraphs>
  <ScaleCrop>false</ScaleCrop>
  <Company/>
  <LinksUpToDate>false</LinksUpToDate>
  <CharactersWithSpaces>87037</CharactersWithSpaces>
  <SharedDoc>false</SharedDoc>
  <HyperlinkBase>C:\1\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