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საზღვაო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დებულებანი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-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ნაოსნობასთან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გადასაყვანად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თევზისა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რეწვის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მდინარეებში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ტბებში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წყალსაცავებსა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გზებზე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მიმოსვლაზე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შერეულ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საწყლოსნო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მიმოსვლით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მთხვევებში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hAnsi="Sylfaen" w:cs="Sylfaen"/>
          <w:lang w:val="en-US"/>
        </w:rPr>
        <w:t xml:space="preserve">(11.12.2015.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val="en-US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Calibri" w:hAnsi="Calibri" w:cs="Calibri"/>
          <w:sz w:val="24"/>
          <w:szCs w:val="24"/>
          <w:lang w:val="ru-RU" w:eastAsia="ru-RU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lastRenderedPageBreak/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ნავსადგურებს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ზიდვისა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>1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მფლობელობაშია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hAnsi="Sylfaen" w:cs="Sylfaen"/>
          <w:lang w:val="ru-RU" w:eastAsia="ru-RU"/>
        </w:rPr>
        <w:t>(13.07.2000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ru-RU" w:eastAsia="ru-RU"/>
        </w:rPr>
        <w:t>490)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1B0F98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 </w:t>
      </w:r>
      <w:r>
        <w:rPr>
          <w:rFonts w:ascii="Sylfaen" w:hAnsi="Sylfaen" w:cs="Sylfaen"/>
          <w:lang w:val="ru-RU" w:eastAsia="ru-RU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ru-RU" w:eastAsia="ru-RU"/>
        </w:rPr>
        <w:t xml:space="preserve">4222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2011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15 </w:t>
      </w:r>
      <w:r>
        <w:rPr>
          <w:rFonts w:ascii="Sylfaen" w:eastAsia="Times New Roman" w:hAnsi="Sylfaen" w:cs="Sylfaen"/>
          <w:lang w:val="ru-RU" w:eastAsia="ru-RU"/>
        </w:rPr>
        <w:t>აპრილიდან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:rsidR="00000000" w:rsidRDefault="001B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sz w:val="24"/>
          <w:szCs w:val="24"/>
          <w:lang w:val="ru-RU" w:eastAsia="ru-RU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 </w:t>
      </w:r>
      <w:r>
        <w:rPr>
          <w:rFonts w:ascii="Sylfaen" w:hAnsi="Sylfaen" w:cs="Sylfaen"/>
          <w:lang w:val="ru-RU" w:eastAsia="ru-RU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>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hAnsi="Sylfaen" w:cs="Sylfaen"/>
          <w:lang w:val="ka-GE" w:eastAsia="ka-GE"/>
        </w:rPr>
        <w:t xml:space="preserve">(27.06.2008,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 </w:t>
      </w:r>
      <w:r>
        <w:rPr>
          <w:rFonts w:ascii="Sylfaen" w:hAnsi="Sylfaen" w:cs="Sylfaen"/>
          <w:lang w:val="ka-GE" w:eastAsia="ka-GE"/>
        </w:rPr>
        <w:t xml:space="preserve">(5.06.2012.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mk-MK" w:eastAsia="mk-MK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გადააკეთონ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ru-RU" w:eastAsia="ru-RU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ru-RU" w:eastAsia="ru-RU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2397)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არაწყალწყვის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ჰიდროთვითმფრინავს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გადასაყვანად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გადასატანად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რეწვისათვის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gl-ES" w:eastAsia="gl-E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მოტივტივე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პლატფორმა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ინსტალაცია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სიგრძის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გართობისათვის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თევზსაჭერი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რეწვი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რეწვის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რამეზ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სანოვაგით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6386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) 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მისასვლელებთან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VII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მეჩხერ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კლდეებზე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გამორიყული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ნამსხვრევები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XXI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XXII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XXIII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XXIV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13.07.2000. </w:t>
      </w:r>
      <w:r>
        <w:rPr>
          <w:rFonts w:ascii="Sylfaen" w:eastAsia="Times New Roman" w:hAnsi="Sylfaen" w:cs="Sylfaen"/>
          <w:lang w:val="ka-GE" w:eastAsia="ka-GE"/>
        </w:rPr>
        <w:t>№490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13.07.2000. </w:t>
      </w:r>
      <w:r>
        <w:rPr>
          <w:rFonts w:ascii="Sylfaen" w:eastAsia="Times New Roman" w:hAnsi="Sylfaen" w:cs="Sylfaen"/>
          <w:lang w:val="ka-GE" w:eastAsia="ka-GE"/>
        </w:rPr>
        <w:t>№490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>13.0</w:t>
      </w:r>
      <w:r>
        <w:rPr>
          <w:rFonts w:ascii="Sylfaen" w:hAnsi="Sylfaen" w:cs="Sylfaen"/>
          <w:lang w:val="ka-GE" w:eastAsia="ka-GE"/>
        </w:rPr>
        <w:t xml:space="preserve">7.2000.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490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ნამსხვრევები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XX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საზღვაო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ნაოსნობის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თავისებურებების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გათვალისწინებით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სამოქალაქო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ადმინისტრაციული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სხვა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ურთიერთობები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თუ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მათ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აწესრიგებს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კოდექსი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რეგულირდება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სამოქალაქო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ისტრაციული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სხვა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შესაბამისი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კანონის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ანალოგიით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საქართველოს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ზოგადი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პრინციპებით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(IMO)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Calibri" w:hAnsi="Calibri" w:cs="Calibri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05.06.2012. 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გემთმშენებლის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პარალელურ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გახანგრძლივება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გახანგრძლივდეს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90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lang w:val="ka-GE" w:eastAsia="ka-GE"/>
        </w:rPr>
        <w:t>№4106)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გემთმშენებლის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გემისთვის</w:t>
      </w:r>
      <w:r>
        <w:rPr>
          <w:rFonts w:ascii="Sylfaen" w:hAnsi="Sylfaen" w:cs="Sylfaen"/>
          <w:color w:val="222222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(11.12.2015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1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4622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№3</w:t>
      </w:r>
      <w:r>
        <w:rPr>
          <w:rFonts w:ascii="Sylfaen" w:hAnsi="Sylfaen" w:cs="Sylfaen"/>
          <w:lang w:val="ka-GE" w:eastAsia="ka-GE"/>
        </w:rPr>
        <w:t>072)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სატონაჟო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წყალწყვა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 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განზომილებათა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 </w:t>
      </w:r>
      <w:r>
        <w:rPr>
          <w:rFonts w:ascii="Sylfaen" w:hAnsi="Sylfaen" w:cs="Sylfaen"/>
          <w:lang w:val="ka-GE" w:eastAsia="ka-GE"/>
        </w:rPr>
        <w:t xml:space="preserve">(24.09.2013.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6386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6386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Calibri" w:hAnsi="Calibri" w:cs="Calibri"/>
          <w:i/>
          <w:iCs/>
          <w:color w:val="333333"/>
          <w:shd w:val="clear" w:color="auto" w:fill="EAEAEA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Calibri" w:hAnsi="Calibri" w:cs="Calibri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1966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გაჭუჭყიანების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(MARPOL), 1973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(TONNAGE 69), 1969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(11.12.2015. N4622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შემმოწმებლად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A.1070 (28)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საიმპლემენტაციო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(11.12.2015. N4622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A.739 (18)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MSC/Circ. 710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MEPC/Circ. 307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ცირკულარები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ცირკულარები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1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A.1070 (28)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(11.12.2015. N4622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3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შემმოწმებელს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არადამაკმაყოფილებლად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4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გენტოსა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MSC/Circ. 710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MEPC/Circ. 307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ცირკულარების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ტკიცებულებას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6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7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8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(IMO)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9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დარწმუნდეს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10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შესაფასებე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საინტერესო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ამონარიდები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11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იახტებზე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საწვრთნელი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lang w:val="ka-GE" w:eastAsia="ka-GE"/>
        </w:rPr>
        <w:t>№4106)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lang w:val="ka-GE" w:eastAsia="ka-GE"/>
        </w:rPr>
        <w:t>№4106)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12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Calibri" w:hAnsi="Calibri" w:cs="Calibri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13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დამაკმაყოფილებელ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14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დასარეგულირებლად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15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A.739 (18)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MSC/Circ. 710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MEPC/Circ. 307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ცირკულარებით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12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დაუქვემდებარებელი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ეკიპაჟი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თევზსაჭერი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მეთევზე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 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თევზსაჭერ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შკიპერის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მეთევზე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ზღვაოსნობაუნა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უსიტყვოდ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რეპატრიაციისათვის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ერხებულ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პირველსავე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წამახალისებელ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hAnsi="Sylfaen" w:cs="Sylfaen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6439)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ამოჭრილი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მოგვარებისას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6439)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ექთანი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6439)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მიცვალებულის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დასაკრძალავად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მიცვალებულის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ტრადიციების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აღმოუჩინოს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გაეშუროს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მოხვედრილთა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დასახმარებლად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მოხვედრილნი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_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გარდაუვალი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 </w:t>
      </w:r>
      <w:r>
        <w:rPr>
          <w:rFonts w:ascii="Sylfaen" w:hAnsi="Sylfaen" w:cs="Sylfaen"/>
          <w:lang w:val="ka-GE" w:eastAsia="ka-GE"/>
        </w:rPr>
        <w:t>(05.06.</w:t>
      </w:r>
      <w:r>
        <w:rPr>
          <w:rFonts w:ascii="Sylfaen" w:hAnsi="Sylfaen" w:cs="Sylfaen"/>
          <w:lang w:val="ka-GE" w:eastAsia="ka-GE"/>
        </w:rPr>
        <w:t xml:space="preserve">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მეკობრეთა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თავდამსხმელთა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Calibri" w:hAnsi="Calibri" w:cs="Calibri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შესაკეთებლად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დააზარალებს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(20.04.2005. </w:t>
      </w:r>
      <w:r>
        <w:rPr>
          <w:rFonts w:ascii="Sylfaen" w:eastAsia="Times New Roman" w:hAnsi="Sylfaen" w:cs="Sylfaen"/>
          <w:b/>
          <w:bCs/>
          <w:lang w:val="ka-GE" w:eastAsia="ka-GE"/>
        </w:rPr>
        <w:t>№1361)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კოლიზიური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3619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24.09.2010.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3619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კომპლექტდება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რეპატრიაცია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ტრავმის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ღუპვისას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რეპატრიაციას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თვითმფრინავი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რეპატრიაციას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უდანაკარგოდ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center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gl-ES" w:eastAsia="gl-ES"/>
        </w:rPr>
        <w:t>თავი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</w:p>
    <w:p w:rsidR="00000000" w:rsidRDefault="001B0F98">
      <w:pPr>
        <w:spacing w:line="20" w:lineRule="atLeast"/>
        <w:jc w:val="both"/>
        <w:rPr>
          <w:rFonts w:ascii="Sylfaen" w:hAnsi="Sylfaen" w:cs="Sylfaen"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gl-ES" w:eastAsia="gl-ES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both"/>
        <w:rPr>
          <w:rFonts w:ascii="Sylfaen" w:hAnsi="Sylfaen" w:cs="Sylfaen"/>
          <w:sz w:val="32"/>
          <w:szCs w:val="32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gl-ES" w:eastAsia="gl-E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both"/>
        <w:rPr>
          <w:rFonts w:ascii="Sylfaen" w:hAnsi="Sylfaen" w:cs="Sylfaen"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საქმიანობის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:rsidR="00000000" w:rsidRDefault="001B0F98">
      <w:pPr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spacing w:line="20" w:lineRule="atLeast"/>
        <w:ind w:firstLine="705"/>
        <w:jc w:val="both"/>
        <w:rPr>
          <w:rFonts w:ascii="Sylfaen" w:hAnsi="Sylfaen" w:cs="Sylfaen"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3 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0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დასასაქმებელი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ცია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ისობა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ის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თან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შესაბამისობა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მიტოვებული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გადაუწყვეტელი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gl-ES" w:eastAsia="gl-E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gl-ES" w:eastAsia="gl-E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gl-ES" w:eastAsia="gl-E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რეპატრიაციასთან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საკრუინგო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ნავსადგური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</w:t>
      </w:r>
      <w:r>
        <w:rPr>
          <w:rFonts w:ascii="Sylfaen" w:eastAsia="Times New Roman" w:hAnsi="Sylfaen" w:cs="Sylfaen"/>
          <w:lang w:val="ka-GE" w:eastAsia="ka-GE"/>
        </w:rPr>
        <w:t>ლიდან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საექსპედიტორო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</w:t>
      </w:r>
      <w:r>
        <w:rPr>
          <w:rFonts w:ascii="Sylfaen" w:eastAsia="Times New Roman" w:hAnsi="Sylfaen" w:cs="Sylfaen"/>
          <w:lang w:val="ka-GE" w:eastAsia="ka-GE"/>
        </w:rPr>
        <w:t>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ნავმისადგომის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4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ნავმისადგომები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შუქურები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შუქნიშნები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5301)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(10.05.2022.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სიღრმეების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ფსკერდაღრმავებითი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წყალწყვის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ფსკერდაღრმავებითი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დაღრმავებასა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სიღრმეების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ნმიმდევრობის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ჩავარდნილი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3.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(30.03.2007.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4598)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>4.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(30.03.2007.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4598)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ნავმისადგომებთან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სიღრმეების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სისუფთავისა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უტილიზაციისთვის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ჩავარდნილი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სტივიდორული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სურვეირული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საექსპედიტორო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სადისბურსმენტო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79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b/>
          <w:bCs/>
          <w:position w:val="6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2397)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27.06.2008. 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bookmarkStart w:id="0" w:name="part_110"/>
    <w:bookmarkEnd w:id="0"/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noProof/>
          <w:sz w:val="24"/>
          <w:szCs w:val="24"/>
          <w:lang w:val="ka-GE" w:eastAsia="ka-GE"/>
        </w:rPr>
        <w:fldChar w:fldCharType="begin"/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instrText>HYPERLINK "https://matsne.gov.ge/ka/document/view/29908?publication=34" \l "!"</w:instrText>
      </w:r>
      <w:r>
        <w:rPr>
          <w:rFonts w:ascii="Sylfaen" w:hAnsi="Sylfaen" w:cs="Sylfaen"/>
          <w:noProof/>
          <w:sz w:val="24"/>
          <w:szCs w:val="24"/>
          <w:lang w:val="ka-GE" w:eastAsia="ka-GE"/>
        </w:rPr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fldChar w:fldCharType="separate"/>
      </w:r>
      <w:r>
        <w:rPr>
          <w:rFonts w:ascii="Sylfaen" w:eastAsia="Times New Roman" w:hAnsi="Sylfaen" w:cs="Sylfaen"/>
          <w:noProof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fldChar w:fldCharType="end"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80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ფრთხოდ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მწყობრიდან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ასვენებისა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გემთმშენებელი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ემიჯნება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მისასვლელებთან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გემთწამყვანის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თევზსაჭერი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წყალზედა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11.12.2015. 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მისასვლელებთან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მისასვლელ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ნავმისადგომზე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მისასვლელებთან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IMO-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A.960 (23)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აქტიკასთან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თვალყური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ფარვატერზე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ფარვატერზე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91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ცუდ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მიწისძვრისა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არახელსაყრელი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მოსასვენებელი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(27.06.2008 N 69 </w:t>
      </w:r>
      <w:r>
        <w:rPr>
          <w:rFonts w:ascii="Sylfaen" w:eastAsia="Times New Roman" w:hAnsi="Sylfaen" w:cs="Sylfaen"/>
          <w:i/>
          <w:i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lang w:val="ka-GE" w:eastAsia="ka-GE"/>
        </w:rPr>
        <w:t xml:space="preserve"> 20 </w:t>
      </w:r>
      <w:r>
        <w:rPr>
          <w:rFonts w:ascii="Sylfaen" w:eastAsia="Times New Roman" w:hAnsi="Sylfaen" w:cs="Sylfaen"/>
          <w:i/>
          <w:iCs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ნავმისადგომთან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ბაგირით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ხიდურზე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(30.03.2007.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4598)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დეტვეიტი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ტვირთამწეობა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სიგრძე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წყალშიგი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დაჰყოს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მაჟორი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დასაბრუნებელი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სადღეღამისო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(30.03.2007.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4598)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1B0F98">
      <w:pPr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105 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მიზნებისათვის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ჩაძირულ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ქონებად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მიიჩნევა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ზღვაში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შიგა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ჩაძირული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აგრ</w:t>
      </w:r>
      <w:r>
        <w:rPr>
          <w:rFonts w:eastAsia="Times New Roman"/>
          <w:sz w:val="24"/>
          <w:szCs w:val="24"/>
          <w:lang w:val="ka-GE" w:eastAsia="ka-GE"/>
        </w:rPr>
        <w:t>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მეჩხერ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წყლებზე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კლდეებზე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გამორიყული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გემი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ნამსხვრევები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მოწყობილობანი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ტვირთი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pStyle w:val="abzacixml"/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ზღვაში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ჩაძირული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ამოღება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გამოტანა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განადგურება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ხორციელდება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სხვა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საკანონმდებლო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კანონქვემდებარე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</w:t>
      </w:r>
      <w:r>
        <w:rPr>
          <w:rFonts w:eastAsia="Times New Roman"/>
          <w:sz w:val="24"/>
          <w:szCs w:val="24"/>
          <w:lang w:val="ka-GE" w:eastAsia="ka-GE"/>
        </w:rPr>
        <w:t>ორმატიული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აქტების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ჩაიძირა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106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რეწვას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შეაფერხოს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107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მოსაძიებლად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გასანადგურებლად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108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109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გასანადგურებლად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110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გემთამწე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sz w:val="24"/>
          <w:szCs w:val="24"/>
          <w:lang w:val="ka-GE" w:eastAsia="ka-GE"/>
        </w:rPr>
        <w:t xml:space="preserve"> 111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</w:t>
      </w:r>
      <w:r>
        <w:rPr>
          <w:rFonts w:ascii="Sylfaen" w:eastAsia="Times New Roman" w:hAnsi="Sylfaen" w:cs="Sylfaen"/>
          <w:lang w:val="ka-GE" w:eastAsia="ka-GE"/>
        </w:rPr>
        <w:t>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112 </w:t>
      </w:r>
      <w:r>
        <w:rPr>
          <w:rFonts w:ascii="Sylfaen" w:hAnsi="Sylfaen" w:cs="Sylfaen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6545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</w:t>
      </w:r>
      <w:r>
        <w:rPr>
          <w:rFonts w:ascii="Sylfaen" w:eastAsia="Times New Roman" w:hAnsi="Sylfaen" w:cs="Sylfaen"/>
          <w:lang w:val="ka-GE" w:eastAsia="ka-GE"/>
        </w:rPr>
        <w:t>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sz w:val="24"/>
          <w:szCs w:val="24"/>
          <w:lang w:val="ka-GE" w:eastAsia="ka-GE"/>
        </w:rPr>
        <w:t xml:space="preserve"> </w:t>
      </w:r>
    </w:p>
    <w:p w:rsidR="00000000" w:rsidRDefault="001B0F98">
      <w:pPr>
        <w:pStyle w:val="abzacixml"/>
        <w:spacing w:line="20" w:lineRule="atLeast"/>
        <w:ind w:firstLine="720"/>
        <w:rPr>
          <w:sz w:val="24"/>
          <w:szCs w:val="24"/>
          <w:lang w:val="ka-GE" w:eastAsia="ka-GE"/>
        </w:rPr>
      </w:pPr>
    </w:p>
    <w:p w:rsidR="00000000" w:rsidRDefault="001B0F98">
      <w:pPr>
        <w:pStyle w:val="abzacixml"/>
        <w:spacing w:line="20" w:lineRule="atLeast"/>
        <w:ind w:firstLine="720"/>
        <w:rPr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113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გამფრახტველად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ჰამბურგის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116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მარცხისა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უპირველეს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-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საორდერო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1924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`„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ჰამბურგის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გემბანზე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საბლანკო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გაწყობილ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შეიფუთოს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დაუზიანებლად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მკაფიო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მოამარაგოს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დააკომპლექტოს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მოაწესრიგოს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hyperlink r:id="rId4" w:anchor="!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მუხლი 127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№4923 </w:t>
      </w:r>
      <w:r>
        <w:rPr>
          <w:rFonts w:ascii="Sylfaen" w:eastAsia="Times New Roman" w:hAnsi="Sylfaen" w:cs="Sylfaen"/>
          <w:color w:val="333333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გემბანზე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გემბანზე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სეპარაციის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გადაიზიდოს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ლიხტერით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დემერეჯი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დასჭირდეს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გააუვნებელყოს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მიაყენ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აალებადი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ფეთქებადი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გადაახდევინოს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136_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`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`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ხანმოკლეა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იღუპება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დაიპყრობენ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გამოუსადეგარად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დაიღუპება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დასატვირთად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დაიღუპა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ასწრებს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მოექცნენ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მოლოდინში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გადაიზიდოს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საორდერო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საბლანკოწარწერიანი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დაათვალიერეს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,145-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საკაბოტაჟო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მალფუჭებადი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მოუკითხ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გაიყიდოს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მოუკითხავი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საკაბოტაჟო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გადაახდევინონ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აანაზღაურებინოს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უსაბუთო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უსაბუთო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მაჟორი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ხიფათის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მიუძღვის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კარანტინი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მღელვარებით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შეუმჩნეველი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გაურკვეველი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კაბოტაჟით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ლიხტერები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პლომბები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ნაკვალევი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მოხერხდა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სავალუტო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666.67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(SDR)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კილოგრამ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შეაკეთა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 </w:t>
      </w:r>
      <w:r>
        <w:rPr>
          <w:rFonts w:ascii="Sylfaen" w:hAnsi="Sylfaen" w:cs="Sylfaen"/>
          <w:lang w:val="ka-GE" w:eastAsia="ka-GE"/>
        </w:rPr>
        <w:t xml:space="preserve">(30.03.2007.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4598)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ზავრისა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lang w:val="ka-GE" w:eastAsia="ka-GE"/>
        </w:rPr>
        <w:t xml:space="preserve">№4944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კაიუტაში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კაიუტაში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გადაყირავება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მეჩეჩზე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მისაყვანად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168 </w:t>
      </w:r>
      <w:r>
        <w:rPr>
          <w:rFonts w:ascii="Sylfaen" w:hAnsi="Sylfaen" w:cs="Sylfaen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lang w:val="ka-GE" w:eastAsia="ka-GE"/>
        </w:rPr>
        <w:t xml:space="preserve">№4944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გადასაყვანად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დააკომპლექტოს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გადასატანად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გადმოსხდომისათვის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4598)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პროპროციულად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ჩასხდომისა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დააზღვიოს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მეჩეჩზე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შერყევის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5.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შერყევის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173 </w:t>
      </w:r>
      <w:r>
        <w:rPr>
          <w:rFonts w:ascii="Sylfaen" w:hAnsi="Sylfaen" w:cs="Sylfaen"/>
          <w:lang w:val="ka-GE" w:eastAsia="ka-GE"/>
        </w:rPr>
        <w:t xml:space="preserve">(30.03.2007.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4598)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გჩუ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S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დაუზიანებლად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 </w:t>
      </w:r>
      <w:r>
        <w:rPr>
          <w:rFonts w:ascii="Sylfaen" w:hAnsi="Sylfaen" w:cs="Sylfaen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lang w:val="ka-GE" w:eastAsia="ka-GE"/>
        </w:rPr>
        <w:t xml:space="preserve">№4944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კაიუტაში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აკარგვისთვის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3 375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lang w:val="ka-GE" w:eastAsia="ka-GE"/>
        </w:rPr>
        <w:t xml:space="preserve">№4944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გარდაუვალი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ჩაჯდომამდე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მოგზაურობა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საექსკურსიო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კაიუტის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კომფორტით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ჩამოუვარდება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“-„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“-„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მოგზაურობის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შერყევის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დაქირავება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ვადით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მიაქირაოს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გადასატანად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გადასაყვანად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ტვირთამწეობა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ვფვუიგ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საფრახტო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დააკომპლექტოს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უნაწილდებათ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ტვირთამწეობა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გააუმჯობესა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გამოაცალკეოს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გააუმჯობესა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იპოთეკა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წამოაყენა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საგირავნო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უგულებელყოფის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ოგირავნე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XIV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ამრჯელოს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გადაინმფტწთ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მანევრირება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მოიყვანონ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მეპატრონეს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მეპატრონე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უდანაშაულობას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მეპატრონე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უდანაშაულობას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ნავმისადგომთან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პუქშთ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თჩმფ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ქსგკფმშ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მოუმზადებლობის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აანაზღაურებინოს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უშორეს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გადაახდევინოს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მოუმზადემარეობაში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226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აღმოუჩინოს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დასჭირდება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მანევრირებას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ბაგირით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მიბმასა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უქსირო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230 </w:t>
      </w:r>
      <w:r>
        <w:rPr>
          <w:rFonts w:ascii="Sylfaen" w:hAnsi="Sylfaen" w:cs="Sylfaen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მანევრირებისათვის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ბაგირით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მიბმისა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ხელშეკრულება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სცოდნოდა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აფორმებენ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შემსყიდველზე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ზინაისათვ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სცოდნოდა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სცოდნოდა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დაუზიანებლად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სიძველით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დაჟანგვა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გატეხვა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გაჟონვა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რადიაქტიული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შეპყრობით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მეკობრეთა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მღელვარებით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გამოზამთრე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გასარკვევად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უკანანსკნელი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დაამტკმცებს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დაიღუპა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უთხრას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აბანდონი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შეპყრობილია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აბანდონი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(5.06.2012. N6386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აბანდონის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აბანდონის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აბანდონის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შეპყრობილი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განიცადა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ავარია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შეწირვის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273 - 283-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გადასაგდებად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ლიუკებიდან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ხვრელებიდან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ტრიუმში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ცეცხლმოდებული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დატბორვის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მეჩეჩზე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დაჯდომითა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მეჩეჩზე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დაჯდომაც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მეჩეჩიდან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მცდელობისას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საქვაბეების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მეჩეჩზე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დაჯდომისას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ლიხტერებში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ლიხტერების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შეწირვის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ავშესაფრიდან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დაბრუნებულიყო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შესაკეთებლად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დასატვირთად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`„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შეყოვნებასთან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მიუკუთვნებელი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შეუფარდებლად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271-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თვითაალებადი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ჩაქრობისას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კვამლით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სიმხურვალით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შეწირულობათა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ნამსხვრევე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ჩამოჭრით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გამომჟღავნდა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გადაცვენის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გამომჟღავნდა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განიცადა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შეწირვის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აანაზღაურებინონ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თხუთმეტ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ჩამოფასდება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საკონტრიბუციო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უქონლობისას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დიმაიზის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დაიღუპებოდა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მიაკუთვნეს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სურვეირული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მომთხოვნ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287 -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საშემსრულებლო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კანტორაში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შეუცვლია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შეჯახებით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უტოლდება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_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მაჟორი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განიცადა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ღუზაზე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შერყევით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ოღონდ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293-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ჩაგდების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მიეშველოს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მიყენებული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გაჟონვით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გადასხმით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დამაბინძურებელი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დამაბინძურებელმა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თევზსარეწ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ურვილობას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გაჟონვა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დამაბინძურებელ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გადაულახავმა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გარდაუვალმა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მღელვარებამ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გაუმართაობამ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ადაყრამ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გაჟონვით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მოხერხდა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გაჟონვის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სავალუტო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სამანქანო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302-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lang w:val="ka-GE" w:eastAsia="ka-GE"/>
        </w:rPr>
        <w:t>№35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საბუნკერო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ტანკერით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საბუნკერო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lang w:val="ka-GE" w:eastAsia="ka-GE"/>
        </w:rPr>
        <w:t xml:space="preserve">№3569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საბუნკერო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lang w:val="ka-GE" w:eastAsia="ka-GE"/>
        </w:rPr>
        <w:t xml:space="preserve">№3569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შეედავოს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გადამხდელუუნარობისა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თხილებლობით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რეგრესზე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307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მაზუთს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ვეშაპისა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XIX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გემის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ფეთქებადი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1. 314-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მღელვარები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სავალუტო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81,97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- 57,38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- 24,59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თანაბარწილად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,344-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320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გადარჩენისათვის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ჩავარდნილი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ჩავარდნილ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უსამართლოა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აიცილა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განიცადა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ოსტატობა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განიცადეს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დაამძიმა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328-329-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გადამრჩენს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328-329-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ფარგლების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განსაზღვრა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მოშორებასთან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ნამსხვრევებად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მეჩეჩზე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დამჯდარი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მოშორებასთან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უვნებელყოფასთან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გააზრებული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თვითდაიმედებით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333000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501-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- 500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3001-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- 333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30001-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- 250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70000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- 167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167 000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501-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- 167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30 001-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- 125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70 000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- 83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ნაჩვენები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შერყევის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შემხვედრი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სავალუტო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სავალუტო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პრივილეგიური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უპირველესი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სამართალურთიერთობებიდან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უტოლდება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" -"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ჩაუბარებელი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350-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ასეთსავე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ასეთსავე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XXIII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ტესტი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357 </w:t>
      </w:r>
      <w:r>
        <w:rPr>
          <w:rFonts w:ascii="Sylfaen" w:hAnsi="Sylfaen" w:cs="Sylfaen"/>
          <w:lang w:val="ka-GE" w:eastAsia="ka-GE"/>
        </w:rPr>
        <w:t>(2</w:t>
      </w:r>
      <w:r>
        <w:rPr>
          <w:rFonts w:ascii="Sylfaen" w:hAnsi="Sylfaen" w:cs="Sylfaen"/>
          <w:lang w:val="ka-GE" w:eastAsia="ka-GE"/>
        </w:rPr>
        <w:t xml:space="preserve">7.06.2008.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6439)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358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ლიუკების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360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XXIV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სარჩელი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სურვეირის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დასამოწმებლად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უსაბუთო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სურვეიერის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გადაეზიდათ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მიმოსვლით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გადაეზიდათ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366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ფორვადერს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უქონლობა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367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პირიქით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საექსპედიტორო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368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დამამტკიცებელი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გაფუჭების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369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№4944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№4944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წაუყენონ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გადამტანისათვის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2002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(17.09.2019. </w:t>
      </w:r>
      <w:r>
        <w:rPr>
          <w:rFonts w:ascii="Sylfaen" w:eastAsia="Times New Roman" w:hAnsi="Sylfaen" w:cs="Sylfaen"/>
          <w:lang w:val="ka-GE" w:eastAsia="ka-GE"/>
        </w:rPr>
        <w:t xml:space="preserve">№4944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370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წამოიჭრა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საბუნკერო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lang w:val="ka-GE" w:eastAsia="ka-GE"/>
        </w:rPr>
        <w:t xml:space="preserve">№3569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371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372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გარიშებებზე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373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მეზღვაურის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(0</w:t>
      </w:r>
      <w:r>
        <w:rPr>
          <w:rFonts w:ascii="Sylfaen" w:hAnsi="Sylfaen" w:cs="Sylfaen"/>
          <w:lang w:val="ka-GE" w:eastAsia="ka-GE"/>
        </w:rPr>
        <w:t xml:space="preserve">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განასხვავებს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მეზღვაურთა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18"/>
          <w:szCs w:val="18"/>
          <w:lang w:val="ka-GE" w:eastAsia="ka-GE"/>
        </w:rPr>
        <w:t xml:space="preserve">6386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ე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დღეს</w:t>
      </w:r>
      <w:r>
        <w:rPr>
          <w:rFonts w:ascii="Sylfaen" w:eastAsia="Times New Roman" w:hAnsi="Sylfaen" w:cs="Sylfaen"/>
          <w:sz w:val="18"/>
          <w:szCs w:val="18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3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(0</w:t>
      </w:r>
      <w:r>
        <w:rPr>
          <w:rFonts w:ascii="Sylfaen" w:hAnsi="Sylfaen" w:cs="Sylfaen"/>
          <w:lang w:val="ka-GE" w:eastAsia="ka-GE"/>
        </w:rPr>
        <w:t xml:space="preserve">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4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XXV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375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:rsidR="00000000" w:rsidRDefault="001B0F98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დანართი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(05.06.2012.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ტერმინები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გადასაყვანი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ბარჟა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კარჭაპი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საბაგირე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საბუქსირე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ბუქსირმზიდის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მოგზაურობა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გამფრახტავი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უეკიპაჟოდ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დაფრახტვა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დისპეტჩერის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ბერბოუტ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დამფრახტავის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დემერეჯი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ჩარტერერი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კონტრსტალიური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N4622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მისასვლელებთან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საორდერო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კაბოტაჟი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ნაოსნობა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სადისბურსმენტო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1547)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სურვეირული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ცარიელი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საკლასიფიკაციო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დაპროექტება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საწყლოსნო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ჰამბურგიდან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ბათუმამდე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მდინარეებით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დუნაით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36. BIMCO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გემთმფლობელებს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ბროკერებსა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კონოსამენტებს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BIMCO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ზღვაოსნობის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ვაოსნობაუნარიანობის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გადამზიდავის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„a“, „b“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„c“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ჩაძირული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უპატრონო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გამორიყული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მოტივტივე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ნამსხვრევები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გადაიზიდებოდა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ჩაძირულ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სანავსადგურ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ჩაიძირა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სანავსადგურე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აკვატორიაში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lang w:val="ru-RU" w:eastAsia="ru-RU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ru-RU" w:eastAsia="ru-RU"/>
        </w:rPr>
        <w:t>1547)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1B0F98">
      <w:pPr>
        <w:rPr>
          <w:lang w:val="ru-RU" w:eastAsia="ru-RU"/>
        </w:rPr>
      </w:pP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ედუარდ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B0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№715 - 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1B0F98">
      <w:pPr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B0F98"/>
    <w:rsid w:val="001B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line="360" w:lineRule="auto"/>
      <w:ind w:firstLine="720"/>
      <w:jc w:val="center"/>
    </w:pPr>
    <w:rPr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pPr>
      <w:widowControl/>
      <w:spacing w:before="240" w:after="60" w:line="276" w:lineRule="auto"/>
      <w:jc w:val="center"/>
    </w:pPr>
    <w:rPr>
      <w:rFonts w:ascii="SimSun" w:eastAsia="SimSun" w:cs="SimSu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SimSun" w:eastAsia="SimSun" w:cs="SimSu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844"/>
        <w:tab w:val="right" w:pos="9689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</w:rPr>
  </w:style>
  <w:style w:type="paragraph" w:styleId="DocumentMap">
    <w:name w:val="Document Map"/>
    <w:basedOn w:val="Normal"/>
    <w:link w:val="DocumentMap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  <w:tab w:val="left" w:pos="1170"/>
      </w:tabs>
      <w:spacing w:before="240" w:line="240" w:lineRule="exact"/>
    </w:pPr>
    <w:rPr>
      <w:rFonts w:ascii="Sylfaen" w:hAnsi="Sylfaen" w:cs="Sylfaen"/>
      <w:b/>
      <w:bCs/>
      <w:sz w:val="24"/>
      <w:szCs w:val="24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ps">
    <w:name w:val="hps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position w:val="6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  <w:style w:type="character" w:customStyle="1" w:styleId="highlight">
    <w:name w:val="highlight"/>
    <w:basedOn w:val="DefaultParagraphFont"/>
    <w:uiPriority w:val="99"/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document/view/29908?publication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38393</Words>
  <Characters>218842</Characters>
  <Application>Microsoft Office Word</Application>
  <DocSecurity>0</DocSecurity>
  <Lines>1823</Lines>
  <Paragraphs>513</Paragraphs>
  <ScaleCrop>false</ScaleCrop>
  <Company/>
  <LinksUpToDate>false</LinksUpToDate>
  <CharactersWithSpaces>256722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