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540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ვებგვერდი</w:t>
      </w:r>
      <w:r>
        <w:rPr>
          <w:rFonts w:ascii="Sylfaen" w:hAnsi="Sylfaen" w:cs="Sylfaen"/>
          <w:sz w:val="24"/>
          <w:szCs w:val="24"/>
        </w:rPr>
        <w:t xml:space="preserve">, 19/02/2014  </w:t>
      </w:r>
    </w:p>
    <w:p w14:paraId="7FD3AA2D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სარეგისტრაციო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კოდი</w:t>
      </w:r>
    </w:p>
    <w:p w14:paraId="7634900F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020000000.05.001.017327  </w:t>
      </w:r>
    </w:p>
    <w:p w14:paraId="59877846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3D1DF3C4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411D73FB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21F72C7E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ადმინისტრაციულ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სამართალდარღვევათა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კოდექსში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ცვლილების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შეტანის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22729C1E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</w:p>
    <w:p w14:paraId="21DBE32C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1.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სამართალდარღვევათა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კოდექსში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საქართველო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სსრ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უმაღლესი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საბჭოს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უწყებები</w:t>
      </w:r>
      <w:r>
        <w:rPr>
          <w:rFonts w:ascii="Sylfaen" w:hAnsi="Sylfaen" w:cs="Sylfaen"/>
          <w:sz w:val="24"/>
          <w:szCs w:val="24"/>
        </w:rPr>
        <w:t xml:space="preserve">, №12, 1984 </w:t>
      </w:r>
      <w:r>
        <w:rPr>
          <w:rFonts w:ascii="Sylfaen" w:hAnsi="Sylfaen" w:cs="Sylfaen"/>
          <w:sz w:val="24"/>
          <w:szCs w:val="24"/>
        </w:rPr>
        <w:t>წელი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მუხ</w:t>
      </w:r>
      <w:r>
        <w:rPr>
          <w:rFonts w:ascii="Sylfaen" w:hAnsi="Sylfaen" w:cs="Sylfaen"/>
          <w:sz w:val="24"/>
          <w:szCs w:val="24"/>
        </w:rPr>
        <w:t xml:space="preserve">. 421) </w:t>
      </w:r>
      <w:r>
        <w:rPr>
          <w:rFonts w:ascii="Sylfaen" w:hAnsi="Sylfaen" w:cs="Sylfaen"/>
          <w:sz w:val="24"/>
          <w:szCs w:val="24"/>
        </w:rPr>
        <w:t>შეტანილ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იქნეს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ცვლილება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0BA6D246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1. 153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19DD7F41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„4.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საგნის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კონფისკაციის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მიღებული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ქონების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განკარგვის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ადგენს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ქალაქ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თბილისის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167A073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2. 185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5F8352B0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„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 xml:space="preserve"> 185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.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                          </w:t>
      </w:r>
    </w:p>
    <w:p w14:paraId="4C080DE4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კერძო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პათ</w:t>
      </w:r>
      <w:r>
        <w:rPr>
          <w:rFonts w:ascii="Sylfaen" w:hAnsi="Sylfaen" w:cs="Sylfaen"/>
          <w:sz w:val="24"/>
          <w:szCs w:val="24"/>
        </w:rPr>
        <w:t>ოლოგანატომიური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საქმიანობის</w:t>
      </w:r>
      <w:r>
        <w:rPr>
          <w:rFonts w:ascii="Sylfaen" w:hAnsi="Sylfaen" w:cs="Sylfaen"/>
          <w:sz w:val="24"/>
          <w:szCs w:val="24"/>
        </w:rPr>
        <w:t xml:space="preserve"> (</w:t>
      </w:r>
      <w:r>
        <w:rPr>
          <w:rFonts w:ascii="Sylfaen" w:hAnsi="Sylfaen" w:cs="Sylfaen"/>
          <w:sz w:val="24"/>
          <w:szCs w:val="24"/>
        </w:rPr>
        <w:t>კლინიკური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პათოლოგიის</w:t>
      </w:r>
      <w:r>
        <w:rPr>
          <w:rFonts w:ascii="Sylfaen" w:hAnsi="Sylfaen" w:cs="Sylfaen"/>
          <w:sz w:val="24"/>
          <w:szCs w:val="24"/>
        </w:rPr>
        <w:t xml:space="preserve">)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სასამართლო</w:t>
      </w:r>
      <w:r>
        <w:rPr>
          <w:rFonts w:ascii="Sylfaen" w:hAnsi="Sylfaen" w:cs="Sylfaen"/>
          <w:sz w:val="24"/>
          <w:szCs w:val="24"/>
        </w:rPr>
        <w:t>-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ექსპერტიზის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განმახორციელებელი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პანსიონატის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თავშესაფრის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თავისუფლების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აღკვეთის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დაწესებულების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ხელმძღვანელის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ან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აგრე</w:t>
      </w:r>
      <w:r>
        <w:rPr>
          <w:rFonts w:ascii="Sylfaen" w:hAnsi="Sylfaen" w:cs="Sylfaen"/>
          <w:sz w:val="24"/>
          <w:szCs w:val="24"/>
        </w:rPr>
        <w:t>თვე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სამედიცინო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ცნობის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გაცემის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უფლებამოსილების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მქონე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მიერ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სახელმწიფო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სერვისების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განვითარების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სააგენტოსთვის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გარდაცვალების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დადგენილი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შეტყობინების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ვალდებულების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შეუსრულებლობა</w:t>
      </w:r>
      <w:r>
        <w:rPr>
          <w:rFonts w:ascii="Sylfaen" w:hAnsi="Sylfaen" w:cs="Sylfaen"/>
          <w:sz w:val="24"/>
          <w:szCs w:val="24"/>
        </w:rPr>
        <w:t xml:space="preserve"> – </w:t>
      </w:r>
    </w:p>
    <w:p w14:paraId="6C09C981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გამოიწვევს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დაჯარიმებას</w:t>
      </w:r>
      <w:r>
        <w:rPr>
          <w:rFonts w:ascii="Sylfaen" w:hAnsi="Sylfaen" w:cs="Sylfaen"/>
          <w:sz w:val="24"/>
          <w:szCs w:val="24"/>
        </w:rPr>
        <w:t xml:space="preserve"> 500 </w:t>
      </w:r>
      <w:r>
        <w:rPr>
          <w:rFonts w:ascii="Sylfaen" w:hAnsi="Sylfaen" w:cs="Sylfaen"/>
          <w:sz w:val="24"/>
          <w:szCs w:val="24"/>
        </w:rPr>
        <w:t>ლარის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ოდენობით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4E84465C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3. 240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პირველი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438C11DC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„1.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კოდექსის</w:t>
      </w:r>
      <w:r>
        <w:rPr>
          <w:rFonts w:ascii="Sylfaen" w:hAnsi="Sylfaen" w:cs="Sylfaen"/>
          <w:sz w:val="24"/>
          <w:szCs w:val="24"/>
        </w:rPr>
        <w:t xml:space="preserve"> 103-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107</w:t>
      </w:r>
      <w:r>
        <w:rPr>
          <w:rFonts w:ascii="Sylfaen" w:hAnsi="Sylfaen" w:cs="Sylfaen"/>
          <w:position w:val="6"/>
          <w:sz w:val="24"/>
          <w:szCs w:val="24"/>
        </w:rPr>
        <w:t>4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</w:t>
      </w:r>
      <w:r>
        <w:rPr>
          <w:rFonts w:ascii="Sylfaen" w:hAnsi="Sylfaen" w:cs="Sylfaen"/>
          <w:sz w:val="24"/>
          <w:szCs w:val="24"/>
        </w:rPr>
        <w:t>, 114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-6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-8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>, 125</w:t>
      </w:r>
      <w:r>
        <w:rPr>
          <w:rFonts w:ascii="Sylfaen" w:hAnsi="Sylfaen" w:cs="Sylfaen"/>
          <w:position w:val="6"/>
          <w:sz w:val="24"/>
          <w:szCs w:val="24"/>
        </w:rPr>
        <w:t>2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მუხლით</w:t>
      </w:r>
      <w:r>
        <w:rPr>
          <w:rFonts w:ascii="Sylfaen" w:hAnsi="Sylfaen" w:cs="Sylfaen"/>
          <w:sz w:val="24"/>
          <w:szCs w:val="24"/>
        </w:rPr>
        <w:t>, 125</w:t>
      </w:r>
      <w:r>
        <w:rPr>
          <w:rFonts w:ascii="Sylfaen" w:hAnsi="Sylfaen" w:cs="Sylfaen"/>
          <w:position w:val="6"/>
          <w:sz w:val="24"/>
          <w:szCs w:val="24"/>
        </w:rPr>
        <w:t>3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>, 130-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-4 </w:t>
      </w:r>
      <w:r>
        <w:rPr>
          <w:rFonts w:ascii="Sylfaen" w:hAnsi="Sylfaen" w:cs="Sylfaen"/>
          <w:sz w:val="24"/>
          <w:szCs w:val="24"/>
        </w:rPr>
        <w:t>ნაწილის</w:t>
      </w:r>
      <w:r>
        <w:rPr>
          <w:rFonts w:ascii="Sylfaen" w:hAnsi="Sylfaen" w:cs="Sylfaen"/>
          <w:sz w:val="24"/>
          <w:szCs w:val="24"/>
        </w:rPr>
        <w:t xml:space="preserve"> „</w:t>
      </w:r>
      <w:r>
        <w:rPr>
          <w:rFonts w:ascii="Sylfaen" w:hAnsi="Sylfaen" w:cs="Sylfaen"/>
          <w:sz w:val="24"/>
          <w:szCs w:val="24"/>
        </w:rPr>
        <w:t>ა</w:t>
      </w:r>
      <w:r>
        <w:rPr>
          <w:rFonts w:ascii="Sylfaen" w:hAnsi="Sylfaen" w:cs="Sylfaen"/>
          <w:sz w:val="24"/>
          <w:szCs w:val="24"/>
        </w:rPr>
        <w:t xml:space="preserve">“ </w:t>
      </w:r>
      <w:r>
        <w:rPr>
          <w:rFonts w:ascii="Sylfaen" w:hAnsi="Sylfaen" w:cs="Sylfaen"/>
          <w:sz w:val="24"/>
          <w:szCs w:val="24"/>
        </w:rPr>
        <w:t>ქვ</w:t>
      </w:r>
      <w:r>
        <w:rPr>
          <w:rFonts w:ascii="Sylfaen" w:hAnsi="Sylfaen" w:cs="Sylfaen"/>
          <w:sz w:val="24"/>
          <w:szCs w:val="24"/>
        </w:rPr>
        <w:t>ეპუნქტით</w:t>
      </w:r>
      <w:r>
        <w:rPr>
          <w:rFonts w:ascii="Sylfaen" w:hAnsi="Sylfaen" w:cs="Sylfaen"/>
          <w:sz w:val="24"/>
          <w:szCs w:val="24"/>
        </w:rPr>
        <w:t>, 135-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135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მუხლებითა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153</w:t>
      </w:r>
      <w:r>
        <w:rPr>
          <w:rFonts w:ascii="Sylfaen" w:hAnsi="Sylfaen" w:cs="Sylfaen"/>
          <w:position w:val="6"/>
          <w:sz w:val="24"/>
          <w:szCs w:val="24"/>
        </w:rPr>
        <w:t>6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შემთხვევებში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ადმინისტრაციული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სამართალდარღვევის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შესახებ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ოქმის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შინაარსს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გამოწერის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6F9607F9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4. 242-</w:t>
      </w:r>
      <w:r>
        <w:rPr>
          <w:rFonts w:ascii="Sylfaen" w:hAnsi="Sylfaen" w:cs="Sylfaen"/>
          <w:sz w:val="24"/>
          <w:szCs w:val="24"/>
        </w:rPr>
        <w:t>ე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შენიშვნის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-2 </w:t>
      </w:r>
      <w:r>
        <w:rPr>
          <w:rFonts w:ascii="Sylfaen" w:hAnsi="Sylfaen" w:cs="Sylfaen"/>
          <w:sz w:val="24"/>
          <w:szCs w:val="24"/>
        </w:rPr>
        <w:t>ნაწილი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ჩამოყალიბდეს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შემდეგი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რედაქციით</w:t>
      </w:r>
      <w:r>
        <w:rPr>
          <w:rFonts w:ascii="Sylfaen" w:hAnsi="Sylfaen" w:cs="Sylfaen"/>
          <w:sz w:val="24"/>
          <w:szCs w:val="24"/>
        </w:rPr>
        <w:t xml:space="preserve">: </w:t>
      </w:r>
    </w:p>
    <w:p w14:paraId="69BCE09A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„2. </w:t>
      </w:r>
      <w:r>
        <w:rPr>
          <w:rFonts w:ascii="Sylfaen" w:hAnsi="Sylfaen" w:cs="Sylfaen"/>
          <w:sz w:val="24"/>
          <w:szCs w:val="24"/>
        </w:rPr>
        <w:t>ამ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მუხლის</w:t>
      </w:r>
      <w:r>
        <w:rPr>
          <w:rFonts w:ascii="Sylfaen" w:hAnsi="Sylfaen" w:cs="Sylfaen"/>
          <w:sz w:val="24"/>
          <w:szCs w:val="24"/>
        </w:rPr>
        <w:t xml:space="preserve"> 3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>-4, 4</w:t>
      </w:r>
      <w:r>
        <w:rPr>
          <w:rFonts w:ascii="Sylfaen" w:hAnsi="Sylfaen" w:cs="Sylfaen"/>
          <w:position w:val="6"/>
          <w:sz w:val="24"/>
          <w:szCs w:val="24"/>
        </w:rPr>
        <w:t>1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</w:t>
      </w:r>
      <w:r>
        <w:rPr>
          <w:rFonts w:ascii="Sylfaen" w:hAnsi="Sylfaen" w:cs="Sylfaen"/>
          <w:sz w:val="24"/>
          <w:szCs w:val="24"/>
        </w:rPr>
        <w:t xml:space="preserve">-5 </w:t>
      </w:r>
      <w:r>
        <w:rPr>
          <w:rFonts w:ascii="Sylfaen" w:hAnsi="Sylfaen" w:cs="Sylfaen"/>
          <w:sz w:val="24"/>
          <w:szCs w:val="24"/>
        </w:rPr>
        <w:t>ნაწილებით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გათვალისწინებული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საჯარიმო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ქვითრის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ფორმას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მისი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შევსების</w:t>
      </w:r>
      <w:r>
        <w:rPr>
          <w:rFonts w:ascii="Sylfaen" w:hAnsi="Sylfaen" w:cs="Sylfaen"/>
          <w:sz w:val="24"/>
          <w:szCs w:val="24"/>
        </w:rPr>
        <w:t xml:space="preserve">, </w:t>
      </w:r>
      <w:r>
        <w:rPr>
          <w:rFonts w:ascii="Sylfaen" w:hAnsi="Sylfaen" w:cs="Sylfaen"/>
          <w:sz w:val="24"/>
          <w:szCs w:val="24"/>
        </w:rPr>
        <w:t>ჩაბარებისა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და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წარდგენის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წესს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განსაზღვრავს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წარმომადგენლობითი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</w:t>
      </w:r>
      <w:r>
        <w:rPr>
          <w:rFonts w:ascii="Sylfaen" w:hAnsi="Sylfaen" w:cs="Sylfaen"/>
          <w:sz w:val="24"/>
          <w:szCs w:val="24"/>
        </w:rPr>
        <w:t>ო</w:t>
      </w:r>
      <w:r>
        <w:rPr>
          <w:rFonts w:ascii="Sylfaen" w:hAnsi="Sylfaen" w:cs="Sylfaen"/>
          <w:sz w:val="24"/>
          <w:szCs w:val="24"/>
        </w:rPr>
        <w:t xml:space="preserve">.“. </w:t>
      </w:r>
    </w:p>
    <w:p w14:paraId="0E016B9C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b/>
          <w:bCs/>
          <w:sz w:val="24"/>
          <w:szCs w:val="24"/>
        </w:rPr>
        <w:t>მუხლი</w:t>
      </w:r>
      <w:r>
        <w:rPr>
          <w:rFonts w:ascii="Sylfaen" w:hAnsi="Sylfaen" w:cs="Sylfaen"/>
          <w:b/>
          <w:bCs/>
          <w:sz w:val="24"/>
          <w:szCs w:val="24"/>
        </w:rPr>
        <w:t xml:space="preserve"> 2. </w:t>
      </w:r>
      <w:r>
        <w:rPr>
          <w:rFonts w:ascii="Sylfaen" w:hAnsi="Sylfaen" w:cs="Sylfaen"/>
          <w:sz w:val="24"/>
          <w:szCs w:val="24"/>
        </w:rPr>
        <w:t>ეს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კანონი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ამოქმედდეს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წლის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ადგილობრივი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თვითმმართველობის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ორგანოების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მორიგი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არჩევნების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შედეგების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ოფიციალურად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გამოცხადების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დღიდან</w:t>
      </w:r>
      <w:r>
        <w:rPr>
          <w:rFonts w:ascii="Sylfaen" w:hAnsi="Sylfaen" w:cs="Sylfaen"/>
          <w:sz w:val="24"/>
          <w:szCs w:val="24"/>
        </w:rPr>
        <w:t xml:space="preserve">. </w:t>
      </w:r>
    </w:p>
    <w:p w14:paraId="6789F638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lastRenderedPageBreak/>
        <w:t xml:space="preserve"> </w:t>
      </w:r>
    </w:p>
    <w:p w14:paraId="32B7A52D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საქართველოს</w:t>
      </w:r>
      <w:r>
        <w:rPr>
          <w:rFonts w:ascii="Sylfaen" w:hAnsi="Sylfaen" w:cs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პრეზიდენტი</w:t>
      </w:r>
      <w:r>
        <w:rPr>
          <w:rFonts w:ascii="Sylfaen" w:hAnsi="Sylfaen" w:cs="Sylfaen"/>
          <w:sz w:val="24"/>
          <w:szCs w:val="24"/>
        </w:rPr>
        <w:t xml:space="preserve">                                            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გიორგი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 xml:space="preserve"> </w:t>
      </w:r>
      <w:r>
        <w:rPr>
          <w:rFonts w:ascii="Sylfaen" w:hAnsi="Sylfaen" w:cs="Sylfaen"/>
          <w:b/>
          <w:bCs/>
          <w:i/>
          <w:iCs/>
          <w:sz w:val="24"/>
          <w:szCs w:val="24"/>
        </w:rPr>
        <w:t>მარგველაშვილი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4A48793A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</w:p>
    <w:p w14:paraId="595F83A8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ქუთაისი</w:t>
      </w:r>
      <w:r>
        <w:rPr>
          <w:rFonts w:ascii="Sylfaen" w:hAnsi="Sylfaen" w:cs="Sylfaen"/>
          <w:sz w:val="24"/>
          <w:szCs w:val="24"/>
        </w:rPr>
        <w:t>,</w:t>
      </w:r>
    </w:p>
    <w:p w14:paraId="404A98DA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 xml:space="preserve">5 </w:t>
      </w:r>
      <w:r>
        <w:rPr>
          <w:rFonts w:ascii="Sylfaen" w:hAnsi="Sylfaen" w:cs="Sylfaen"/>
          <w:sz w:val="24"/>
          <w:szCs w:val="24"/>
        </w:rPr>
        <w:t>თებერ</w:t>
      </w:r>
      <w:r>
        <w:rPr>
          <w:rFonts w:ascii="Sylfaen" w:hAnsi="Sylfaen" w:cs="Sylfaen"/>
          <w:sz w:val="24"/>
          <w:szCs w:val="24"/>
        </w:rPr>
        <w:t>ვალი</w:t>
      </w:r>
      <w:r>
        <w:rPr>
          <w:rFonts w:ascii="Sylfaen" w:hAnsi="Sylfaen" w:cs="Sylfaen"/>
          <w:sz w:val="24"/>
          <w:szCs w:val="24"/>
        </w:rPr>
        <w:t xml:space="preserve"> 2014 </w:t>
      </w:r>
      <w:r>
        <w:rPr>
          <w:rFonts w:ascii="Sylfaen" w:hAnsi="Sylfaen" w:cs="Sylfaen"/>
          <w:sz w:val="24"/>
          <w:szCs w:val="24"/>
        </w:rPr>
        <w:t>წ</w:t>
      </w:r>
      <w:r>
        <w:rPr>
          <w:rFonts w:ascii="Sylfaen" w:hAnsi="Sylfaen" w:cs="Sylfaen"/>
          <w:sz w:val="24"/>
          <w:szCs w:val="24"/>
        </w:rPr>
        <w:t>.</w:t>
      </w:r>
    </w:p>
    <w:p w14:paraId="08D6AE5A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</w:rPr>
      </w:pPr>
      <w:r>
        <w:rPr>
          <w:rFonts w:ascii="Sylfaen" w:hAnsi="Sylfaen" w:cs="Sylfaen"/>
          <w:sz w:val="24"/>
          <w:szCs w:val="24"/>
        </w:rPr>
        <w:t>N1960-II</w:t>
      </w:r>
      <w:r>
        <w:rPr>
          <w:rFonts w:ascii="Sylfaen" w:hAnsi="Sylfaen" w:cs="Sylfaen"/>
          <w:sz w:val="24"/>
          <w:szCs w:val="24"/>
        </w:rPr>
        <w:t>ს</w:t>
      </w:r>
      <w:r>
        <w:rPr>
          <w:rFonts w:ascii="Sylfaen" w:hAnsi="Sylfaen" w:cs="Sylfaen"/>
          <w:sz w:val="24"/>
          <w:szCs w:val="24"/>
        </w:rPr>
        <w:t xml:space="preserve"> </w:t>
      </w:r>
    </w:p>
    <w:p w14:paraId="2EEB6D4A" w14:textId="77777777" w:rsidR="00000000" w:rsidRDefault="00EF21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EF214A"/>
    <w:rsid w:val="00EF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0B8D08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2022-08-16T16:58:00Z</dcterms:created>
  <dcterms:modified xsi:type="dcterms:W3CDTF">2022-08-16T16:58:00Z</dcterms:modified>
</cp:coreProperties>
</file>