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მოქალაქეთა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პოლიტიკური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გაერთიანებების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>. „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45, 21.11.1997,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76)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7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იკვეთება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</w:t>
      </w:r>
      <w:r>
        <w:rPr>
          <w:rFonts w:ascii="Sylfaen" w:hAnsi="Sylfaen" w:cs="Sylfaen"/>
          <w:sz w:val="24"/>
          <w:szCs w:val="24"/>
        </w:rPr>
        <w:t>რვილი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გაკეთებული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ჩამოყალიბებისკენ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25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შემოწირულებები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სიმბოლიკის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ლექციების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გამოფენებისა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საგამომცემლო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შემოწირულებად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ფასდაკლებით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შეღავათიანი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ფასეულო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შეღავათიანი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მოხალისის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შემოწირულებისთვის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მხარდასაჭერად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ფასდაკლებით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შეღავათიანი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ფასეულობაზე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მოხალისის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იდენტიფიცირებადია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4.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ოწირულებისთვის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ფასდაკლებით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შეღავათიანი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არამატერი</w:t>
      </w:r>
      <w:r>
        <w:rPr>
          <w:rFonts w:ascii="Sylfaen" w:hAnsi="Sylfaen" w:cs="Sylfaen"/>
          <w:sz w:val="24"/>
          <w:szCs w:val="24"/>
        </w:rPr>
        <w:t>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ფასეულობაზე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მოხალისის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იდენტიფიცირებადია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პარტიას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მილიონი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0,1%-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26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პარტიისთვის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</w:t>
      </w:r>
      <w:r>
        <w:rPr>
          <w:rFonts w:ascii="Sylfaen" w:hAnsi="Sylfaen" w:cs="Sylfaen"/>
          <w:sz w:val="24"/>
          <w:szCs w:val="24"/>
        </w:rPr>
        <w:t>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შეზღუდ</w:t>
      </w:r>
      <w:r>
        <w:rPr>
          <w:rFonts w:ascii="Sylfaen" w:hAnsi="Sylfaen" w:cs="Sylfaen"/>
          <w:sz w:val="24"/>
          <w:szCs w:val="24"/>
        </w:rPr>
        <w:t>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გვერდის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შეკავე</w:t>
      </w:r>
      <w:r>
        <w:rPr>
          <w:rFonts w:ascii="Sylfaen" w:hAnsi="Sylfaen" w:cs="Sylfaen"/>
          <w:sz w:val="24"/>
          <w:szCs w:val="24"/>
        </w:rPr>
        <w:t>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60 000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120 000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1 200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შემომწირველი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15%-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შესყიდვებით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მოქალაქემ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</w:t>
      </w:r>
      <w:r>
        <w:rPr>
          <w:rFonts w:ascii="Sylfaen" w:hAnsi="Sylfaen" w:cs="Sylfaen"/>
          <w:sz w:val="24"/>
          <w:szCs w:val="24"/>
        </w:rPr>
        <w:t>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</w:t>
      </w:r>
      <w:r>
        <w:rPr>
          <w:rFonts w:ascii="Sylfaen" w:hAnsi="Sylfaen" w:cs="Sylfaen"/>
          <w:sz w:val="24"/>
          <w:szCs w:val="24"/>
        </w:rPr>
        <w:t>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შემოწირულებ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გასანაწილებლად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3%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(7.03.2014 N 2097)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დანამატს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30%-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ბლოკის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ათეულში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ერთიმეორისაგან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30%-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პარტია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ფირმის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დასკვნასთან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ფირმის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მოწირულებების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საგამომცემლო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</w:t>
      </w:r>
      <w:r>
        <w:rPr>
          <w:rFonts w:ascii="Sylfaen" w:hAnsi="Sylfaen" w:cs="Sylfaen"/>
          <w:sz w:val="24"/>
          <w:szCs w:val="24"/>
        </w:rPr>
        <w:t>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არჩევნებზე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მივლინებაზე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ავტოსატრანსპო</w:t>
      </w:r>
      <w:r>
        <w:rPr>
          <w:rFonts w:ascii="Sylfaen" w:hAnsi="Sylfaen" w:cs="Sylfaen"/>
          <w:sz w:val="24"/>
          <w:szCs w:val="24"/>
        </w:rPr>
        <w:t>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>).“;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ეკლარაციასთან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პარტია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</w:t>
      </w:r>
      <w:r>
        <w:rPr>
          <w:rFonts w:ascii="Sylfaen" w:hAnsi="Sylfaen" w:cs="Sylfaen"/>
          <w:sz w:val="24"/>
          <w:szCs w:val="24"/>
        </w:rPr>
        <w:t>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მოხმარდა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იგულისხმება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</w:t>
      </w:r>
      <w:r>
        <w:rPr>
          <w:rFonts w:ascii="Sylfaen" w:hAnsi="Sylfaen" w:cs="Sylfaen"/>
          <w:sz w:val="24"/>
          <w:szCs w:val="24"/>
        </w:rPr>
        <w:t>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ბრუნვა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10 000 (</w:t>
      </w:r>
      <w:r>
        <w:rPr>
          <w:rFonts w:ascii="Sylfaen" w:hAnsi="Sylfaen" w:cs="Sylfaen"/>
          <w:sz w:val="24"/>
          <w:szCs w:val="24"/>
        </w:rPr>
        <w:t>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პარტია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10. 33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11. 34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</w:t>
      </w:r>
      <w:r>
        <w:rPr>
          <w:rFonts w:ascii="Sylfaen" w:hAnsi="Sylfaen" w:cs="Sylfaen"/>
          <w:sz w:val="24"/>
          <w:szCs w:val="24"/>
        </w:rPr>
        <w:t>უძვლიანი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შემომწირველი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მიმართვიდან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გამოსათხოვი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გამოსათხოვი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</w:t>
      </w:r>
      <w:r>
        <w:rPr>
          <w:rFonts w:ascii="Sylfaen" w:hAnsi="Sylfaen" w:cs="Sylfaen"/>
          <w:sz w:val="24"/>
          <w:szCs w:val="24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</w:rPr>
        <w:t xml:space="preserve">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</w:t>
      </w:r>
      <w:r>
        <w:rPr>
          <w:rFonts w:ascii="Sylfaen" w:hAnsi="Sylfaen" w:cs="Sylfaen"/>
          <w:sz w:val="24"/>
          <w:szCs w:val="24"/>
        </w:rPr>
        <w:t>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წარმონაქმნის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</w:t>
      </w:r>
      <w:r>
        <w:rPr>
          <w:rFonts w:ascii="Sylfaen" w:hAnsi="Sylfaen" w:cs="Sylfaen"/>
          <w:sz w:val="24"/>
          <w:szCs w:val="24"/>
        </w:rPr>
        <w:t>ებოდა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ჰქონოდა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</w:t>
      </w:r>
      <w:r>
        <w:rPr>
          <w:rFonts w:ascii="Sylfaen" w:hAnsi="Sylfaen" w:cs="Sylfaen"/>
          <w:sz w:val="24"/>
          <w:szCs w:val="24"/>
        </w:rPr>
        <w:t>ლვა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1 000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2 000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გადაჭარბებით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„13.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</w:t>
      </w:r>
      <w:r>
        <w:rPr>
          <w:rFonts w:ascii="Sylfaen" w:hAnsi="Sylfaen" w:cs="Sylfaen"/>
          <w:sz w:val="24"/>
          <w:szCs w:val="24"/>
        </w:rPr>
        <w:t>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-14–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„14. </w:t>
      </w:r>
      <w:r>
        <w:rPr>
          <w:rFonts w:ascii="Sylfaen" w:hAnsi="Sylfaen" w:cs="Sylfaen"/>
          <w:sz w:val="24"/>
          <w:szCs w:val="24"/>
        </w:rPr>
        <w:t>წინასაარჩევნო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</w:t>
      </w:r>
      <w:r>
        <w:rPr>
          <w:rFonts w:ascii="Sylfaen" w:hAnsi="Sylfaen" w:cs="Sylfaen"/>
          <w:sz w:val="24"/>
          <w:szCs w:val="24"/>
        </w:rPr>
        <w:t>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72 </w:t>
      </w:r>
      <w:r>
        <w:rPr>
          <w:rFonts w:ascii="Sylfaen" w:hAnsi="Sylfaen" w:cs="Sylfaen"/>
          <w:sz w:val="24"/>
          <w:szCs w:val="24"/>
        </w:rPr>
        <w:t>საათის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12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აათისა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გასაჩივრება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აჩერებს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12 </w:t>
      </w:r>
      <w:r>
        <w:rPr>
          <w:rFonts w:ascii="Sylfaen" w:hAnsi="Sylfaen" w:cs="Sylfaen"/>
          <w:sz w:val="24"/>
          <w:szCs w:val="24"/>
        </w:rPr>
        <w:t>საათისა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შემოწირულებად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</w:t>
      </w:r>
      <w:r>
        <w:rPr>
          <w:rFonts w:ascii="Sylfaen" w:hAnsi="Sylfaen" w:cs="Sylfaen"/>
          <w:sz w:val="24"/>
          <w:szCs w:val="24"/>
        </w:rPr>
        <w:t>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საწევრო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შენატანი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</w:t>
      </w:r>
      <w:r>
        <w:rPr>
          <w:rFonts w:ascii="Sylfaen" w:hAnsi="Sylfaen" w:cs="Sylfaen"/>
          <w:sz w:val="24"/>
          <w:szCs w:val="24"/>
        </w:rPr>
        <w:t>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29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N900-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B74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4D02"/>
    <w:rsid w:val="00B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2371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