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უცხოელთა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არმქონე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მდგომარეობის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აიცილოს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მოუწესრიგებელი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ლტოლვი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1951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ვარგისია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მგზავრობისათვის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(20.03.2015. N3344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lastRenderedPageBreak/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პაპა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გზატკეცილი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აეროდრომის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გადაკვეთასთან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სიღრმეში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კილომეტრის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აეროდრომის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გადაკვეთასთან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ჩამოყვანით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გაყვანით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შემოსვლა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ყოფნა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გასვლა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გავლისა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არგაძევების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გადაკვეთაზე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კონტრაბანდა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ტრეფიკინგი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შემოსვლა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იქონიონ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დატანილია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ესაჭიროებათ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კვეთენ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წვრთნებისა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ესაჭიროებათ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წვრთნებისა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უვიზო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მიმოსვლით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მშვიდობისათ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გადმოკვეთოს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შემოსვლისა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ვიზა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პირობები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ვიზას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განაცხადით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(14.11.2014.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>2788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eastAsia="x-none"/>
        </w:rPr>
        <w:t>(8.05.2015. N3602)</w:t>
      </w:r>
    </w:p>
    <w:p w:rsidR="00000000" w:rsidRDefault="000278F5">
      <w:pPr>
        <w:pStyle w:val="CommentText"/>
        <w:spacing w:after="0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(A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(B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ორდინალური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(C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(D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(T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A1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მეგობრული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არაოფიციალური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A2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მიანიჭა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A3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კურიერებზე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A4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4"/>
          <w:szCs w:val="24"/>
          <w:lang w:eastAsia="x-none"/>
        </w:rPr>
        <w:t>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A5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B1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B2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შინამუშაკებზე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A2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შინამუშაკებზე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B3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დისლოცირებული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კონტინგენტის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B4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 (8.05.2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ორდინალური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C1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C2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მოსანახულებლად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C3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C4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საფლავების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მოსანახულებლად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დასამყარებლად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D1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მოემგზავრებიან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D2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მოემგზავრებიან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მოემგზავრებიან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D3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D4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D5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გრეთვე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D5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(14.11.2014. N2788)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A1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იმუნიტეტით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პროცედურები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(8.05.2015. N3602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ჭირო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(8.05.2015. N3602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.)</w:t>
      </w:r>
    </w:p>
    <w:p w:rsidR="00000000" w:rsidRDefault="000278F5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(8.05.2015. N3602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გახანგრძლივდეს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გაგრძელება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D3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D3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(8.05.2015. N3602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საფუძვლით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მყოფ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უცხოელზე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გასაცემად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სამგზავრ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სახლისა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ლებებისაგან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უვიზოდ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უვიზოდ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ავიახაზების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გადასხდომით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(14.11.2014. N2788)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ნებართვისა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ნებართვისა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(8.05.2015. N3602)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(14.11.2014. N2788)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იცხოვრა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მშობელზე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(4.05.2017. N779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შემფასებელი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278F5">
      <w:pPr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დაუდასტურდება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300 000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eastAsia="x-non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(20.03.2015.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N3344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ლათინური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ტრანსლიტერაციით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(4.05.2017. N779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კაცობრიობის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085)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განწყობილი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ექსტრემისტულ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ტრანსნაციონალურ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მოწმობა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იმუნიტ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rStyle w:val="Strong"/>
          <w:rFonts w:ascii="Sylfaen" w:hAnsi="Sylfaen" w:cs="Sylfaen"/>
          <w:b w:val="0"/>
          <w:bCs w:val="0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საჯარო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რეესტრს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მიაწოდოს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D5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კატეგორიის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საიმიგრაციო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ვიზის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მქონე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მონაცემები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სახელი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გვარი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დაბადების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თარიღი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ინფორმაცია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უძრავი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ნივთის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საკადასტრო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კოდის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საფუძველზედაც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მიიღო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უცხოელმა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D5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კატეგორიის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საიმიგრაციო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ვიზა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2.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სააგენტო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ვალდებულია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კანონის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-15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„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“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ქვეპუნქტით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გათვალისწინებული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მოკლევადიანი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ბინადრობის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ნებართვის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იმავე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„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“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ქვეპუნქტით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ნებული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საინვესტიციო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ბინადრობის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ნებართვის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გაცემიდან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საჯარო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რეესტრს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მიაწოდოს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მოკლევადიანი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საინვესტიციო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ბინადრობის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ნებართვის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მქონე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მონაცემები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color w:val="FF000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>(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სახელი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გვარი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დაბადების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თარიღი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ინფორმაცია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უძრავი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ნივთის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საკადასტრო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კოდი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საფუძველზედაც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მიიღო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უცხოელმა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მოკლევადიანი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საინვესტიციო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ბინადრობის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ნებართვა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</w:p>
    <w:p w:rsidR="00000000" w:rsidRDefault="000278F5">
      <w:pPr>
        <w:spacing w:after="0" w:line="240" w:lineRule="auto"/>
        <w:ind w:firstLine="709"/>
        <w:jc w:val="both"/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3.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საჯარო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რეესტრი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ვალდებულია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D5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კატეგორიის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საიმიგრაციო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ვიზის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მოქმედების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შეწყვეტის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მქონე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ორგანოს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შეატყობინოს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უძრავ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ნივთზე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შეწყვეტის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საფუძველზედაც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მიიღო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უცხოელმა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D5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კატეგორიის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საიმიგრაციო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ვიზა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ასეთი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შეტყობინება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განხორციელდეს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აღნიშნულ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უძრავ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ნივთზე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შეწყვეტიდან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4. 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აჯარო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რეესტრი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ვალდებულია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სააგენტოს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შეატყობინოს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უძრავ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ნივთზე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შეწყვეტის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საფუძველზედაც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გაიცა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მოკლევადიანი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საინვესტიციო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ბინადრობის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ნებართვა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ასეთი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შეტყობინება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განხორციელდეს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აღნიშნულ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უძრავ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ნივთზე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უცხოელის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შეწყვეტიდან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გააძევეს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უდასტურ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(14.11.2014. N2788)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მარეობა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1954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954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მდგომარეობა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spacing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ნატურალიზა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არაქონებრი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ღირებულებებით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გაერთიანებებში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საქორწინო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საქორწინო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სიტყვის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მიმოსვლისა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დაბეგვრა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გარანტირება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შეუხებლობა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ჩაურევლობა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278F5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შეკრებისა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ანიფესტაციის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მიმოსვ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ამოეწურა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გადავადება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ფეხმძიმობის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(14.11.2014. N2788)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თვითმფრინავის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გადაჯდომის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ღნიშნულ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გადაუვადდეს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მცხადებელთან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გადაუვადდება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თქმა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სუროგაციის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(04.03.2016. N4846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სუროგაციის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სუროგაციი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საკითხის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მისჯილი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მოხდისთა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(8.05.2015. N3602)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დაწყება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გასაძევებელ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გადავადება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უმეთვალყურეოდ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ფეხმძიმობის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უმეთვალყურეოდ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გასაძევებელი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რეადმისიის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მრწამსისათვის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შემლახავი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გასაძევებელი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დაუშვებლობა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(4.05.2017. N779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გასაძევებელი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აკრძალვა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უმეთვალყურეოდ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უმწეო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ალტერნატ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ზომა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შემლახველი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მამაკაცების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დარღვევისათვის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დარღვევისათვის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XIV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საფასურ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(8.05.2015. N3602)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ორდინალური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(8.05.2015. N3602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ღონისძიებანი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უვიზოდ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(19.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02.2015. N3101)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გაუვიდათ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(19.02.2015. N3101)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(14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.11.2014. N2788)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(19.02.2015. N3101)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№3, 16.01.2006,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16);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N2045-II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027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78F5"/>
    <w:rsid w:val="000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18347</Words>
  <Characters>104581</Characters>
  <Application>Microsoft Office Word</Application>
  <DocSecurity>0</DocSecurity>
  <Lines>871</Lines>
  <Paragraphs>245</Paragraphs>
  <ScaleCrop>false</ScaleCrop>
  <Company/>
  <LinksUpToDate>false</LinksUpToDate>
  <CharactersWithSpaces>122683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