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ხომალდები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მონაკვეთში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დაუტოვებია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365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366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ნატურალიზაციით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უცნობი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უცნობია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 (20.03.2015 N3400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Style w:val="highlight"/>
          <w:rFonts w:ascii="Sylfaen" w:eastAsia="Times New Roman" w:hAnsi="Sylfaen" w:cs="Sylfaen"/>
          <w:sz w:val="24"/>
          <w:szCs w:val="24"/>
          <w:lang w:eastAsia="x-none"/>
        </w:rPr>
        <w:t>წინაპ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ხუთი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</w:t>
      </w:r>
      <w:r>
        <w:rPr>
          <w:rFonts w:ascii="Sylfaen" w:hAnsi="Sylfaen" w:cs="Sylfaen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21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შეხედულებებისა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ერთგული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დაქორწინება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განქორწინება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მეუღლ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განქორწინება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ეცვლა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20.03.2015 N3400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(20.03.2015 N3400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საპატიო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კაცობრიობის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ფიცი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ნატურალიზაციით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ფიცს</w:t>
      </w:r>
      <w:r>
        <w:rPr>
          <w:rFonts w:ascii="Sylfaen" w:eastAsia="Times New Roman" w:hAnsi="Sylfaen" w:cs="Sylfaen"/>
          <w:sz w:val="24"/>
          <w:szCs w:val="24"/>
          <w:lang w:val="en-US"/>
        </w:rPr>
        <w:t>: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,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ვხდები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ვფიცავ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ვემსახურო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ვაღიარებ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ვცე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ტრადიციებ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მოპოვება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ნატურალიზაციით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ნატურალიზაცია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ნატურალიზაციის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დაბადებით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ექსტრაკორპორული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განაყ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სუროგაციით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დაიბადა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უცნობია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უცნობ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მშობელთა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უცნობია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სრულწლოვანი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ჩვეულებრივი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(20.03.2015 N3400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აპრილიდან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>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ისტორიისა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ჩვეულებრივ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მოუპოვებია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შეუმოწმებლად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დაქორწინებულ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მოქალაქისათვის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ბრძანებულება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ნატურალიზაციით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მოპოვებაზე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ნატურალიზაციით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მშვიდობისა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კაცობრიობის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უშიშროებისა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მიზანშეუწონელია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ინტერპოლის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წიფოებთან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ალბათობის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განწყობილი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ექსტრემისტულ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შეიარაღების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ტრანსნაციონალურ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ნატურალიზაციით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აგამონაკლისო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სამშობლოდ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ემიგრაციაში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შეიტანა</w:t>
      </w:r>
      <w:r>
        <w:rPr>
          <w:rFonts w:ascii="Sylfaen" w:hAnsi="Sylfaen" w:cs="Sylfaen"/>
          <w:sz w:val="24"/>
          <w:szCs w:val="24"/>
          <w:lang w:eastAsia="x-none"/>
        </w:rPr>
        <w:t>; 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მოღვაწეობა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განაგრძოს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</w:t>
      </w:r>
      <w:r>
        <w:rPr>
          <w:rFonts w:ascii="Sylfaen" w:eastAsia="Times New Roman" w:hAnsi="Sylfaen" w:cs="Sylfaen"/>
          <w:sz w:val="24"/>
          <w:szCs w:val="24"/>
          <w:lang w:val="en-US"/>
        </w:rPr>
        <w:t>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შეწყვეტა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გასვლა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დაკარგვა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ვევისა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შეინარჩუ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აღმოიფხვრა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21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მოქალაქ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სარწმუნოდ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IV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განხილვისა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(20.03.2015 N3400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eastAsia="x-none"/>
        </w:rPr>
        <w:t xml:space="preserve">(20.03.2015 N3400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წარდგინება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ნატურალიზაციით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eastAsia="x-non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განხილვისა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ნატურალიზაციით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კითხებზე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განცხადებისა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წარდგინების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29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გასაჩ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ივრება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ალაქეობის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მოპასუხეა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ოშობს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30</w:t>
      </w:r>
      <w:r>
        <w:rPr>
          <w:rFonts w:ascii="Sylfaen" w:hAnsi="Sylfaen" w:cs="Sylfaen"/>
          <w:b/>
          <w:bCs/>
          <w:position w:val="13"/>
          <w:sz w:val="24"/>
          <w:szCs w:val="24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რესპუბლიკა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ში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ცხინვალის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რეგიონი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ყოფილ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ოსეთის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ავტონომიუ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ოლქი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ტერიტორიაზე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დადგენა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sz w:val="24"/>
          <w:szCs w:val="24"/>
          <w:lang w:eastAsia="x-none"/>
        </w:rPr>
        <w:t>: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ცხინვალის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ცხოვრობდა</w:t>
      </w:r>
      <w:r>
        <w:rPr>
          <w:rFonts w:ascii="Sylfaen" w:hAnsi="Sylfaen" w:cs="Sylfaen"/>
          <w:sz w:val="24"/>
          <w:szCs w:val="24"/>
          <w:lang w:eastAsia="x-none"/>
        </w:rPr>
        <w:t xml:space="preserve"> 1991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1991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21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ცხინვალის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1991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სისწორესა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სანდოობას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1975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1993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1975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ცხინვალის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ძალადაკარგული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1993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№5,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1993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66).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2015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ცნობილ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პერიოდში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 (20.03.2015 N3400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№490)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მარგველაშვილი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2014 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№</w:t>
      </w:r>
      <w:r>
        <w:rPr>
          <w:rFonts w:ascii="Sylfaen" w:hAnsi="Sylfaen" w:cs="Sylfaen"/>
          <w:sz w:val="24"/>
          <w:szCs w:val="24"/>
          <w:lang w:val="en-US"/>
        </w:rPr>
        <w:t>2319-II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63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31246"/>
    <w:rsid w:val="006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ighlight">
    <w:name w:val="highlight"/>
    <w:basedOn w:val="DefaultParagraphFont"/>
    <w:uiPriority w:val="99"/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5385</Words>
  <Characters>30701</Characters>
  <Application>Microsoft Office Word</Application>
  <DocSecurity>0</DocSecurity>
  <Lines>255</Lines>
  <Paragraphs>72</Paragraphs>
  <ScaleCrop>false</ScaleCrop>
  <Company/>
  <LinksUpToDate>false</LinksUpToDate>
  <CharactersWithSpaces>36014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