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E48E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bookmarkStart w:id="0" w:name="_GoBack"/>
      <w:bookmarkEnd w:id="0"/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C8DCDB7" w14:textId="77777777" w:rsidR="00000000" w:rsidRDefault="00AE386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5719ACD0" w14:textId="77777777" w:rsidR="00000000" w:rsidRDefault="00AE386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0F077E68" w14:textId="77777777" w:rsidR="00000000" w:rsidRDefault="00AE386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14:paraId="2D892344" w14:textId="77777777" w:rsidR="00000000" w:rsidRDefault="00AE386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011AA61F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139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663B280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139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გადამყვანი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</w:p>
    <w:p w14:paraId="69C3BE07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გადამყვანი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14:paraId="155DFCB8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გადამყვანი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გადამყვანი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სახმელეთო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საჰაერო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1500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51B4E114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შენიშვნა</w:t>
      </w:r>
      <w:r>
        <w:rPr>
          <w:rFonts w:ascii="Sylfaen" w:hAnsi="Sylfaen" w:cs="Sylfaen"/>
          <w:b/>
          <w:bCs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ქვეპუნქტზე</w:t>
      </w:r>
      <w:r>
        <w:rPr>
          <w:rFonts w:ascii="Sylfaen" w:hAnsi="Sylfaen" w:cs="Sylfaen"/>
          <w:sz w:val="24"/>
          <w:szCs w:val="24"/>
        </w:rPr>
        <w:t>.“.</w:t>
      </w:r>
    </w:p>
    <w:p w14:paraId="232BABFC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191-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D71B5B7" w14:textId="77777777" w:rsidR="00000000" w:rsidRDefault="00AE3864">
      <w:pPr>
        <w:widowControl w:val="0"/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191.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მგზავრობის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</w:p>
    <w:p w14:paraId="6E551F25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</w:t>
      </w:r>
      <w:r>
        <w:rPr>
          <w:rFonts w:ascii="Sylfaen" w:hAnsi="Sylfaen" w:cs="Sylfaen"/>
          <w:sz w:val="24"/>
          <w:szCs w:val="24"/>
        </w:rPr>
        <w:t>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თვემდე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5298BD56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180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8A45F7D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ხანს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64F010AE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360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8BCCDFB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მგზავრობის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14:paraId="2E37102B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11741060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მუშაობისა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–</w:t>
      </w:r>
    </w:p>
    <w:p w14:paraId="2CA4E2AE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4C9902B4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შენიშვნა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გადაუხდელობის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>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გადახდამდე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</w:t>
      </w:r>
      <w:r>
        <w:rPr>
          <w:rFonts w:ascii="Sylfaen" w:hAnsi="Sylfaen" w:cs="Sylfaen"/>
          <w:sz w:val="24"/>
          <w:szCs w:val="24"/>
        </w:rPr>
        <w:t>.“.</w:t>
      </w:r>
    </w:p>
    <w:p w14:paraId="250996E6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208-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(29.07.2014 N2556)</w:t>
      </w:r>
    </w:p>
    <w:p w14:paraId="7BEEB16B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208.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განსჯადი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0F195B19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42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42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44-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–44</w:t>
      </w:r>
      <w:r>
        <w:rPr>
          <w:rFonts w:ascii="Sylfaen" w:hAnsi="Sylfaen" w:cs="Sylfaen"/>
          <w:position w:val="10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>, 44</w:t>
      </w:r>
      <w:r>
        <w:rPr>
          <w:rFonts w:ascii="Sylfaen" w:hAnsi="Sylfaen" w:cs="Sylfaen"/>
          <w:position w:val="10"/>
          <w:sz w:val="16"/>
          <w:szCs w:val="16"/>
        </w:rPr>
        <w:t>5</w:t>
      </w:r>
      <w:r>
        <w:rPr>
          <w:rFonts w:ascii="Sylfaen" w:hAnsi="Sylfaen" w:cs="Sylfaen"/>
          <w:sz w:val="24"/>
          <w:szCs w:val="24"/>
        </w:rPr>
        <w:t>, 44</w:t>
      </w:r>
      <w:r>
        <w:rPr>
          <w:rFonts w:ascii="Sylfaen" w:hAnsi="Sylfaen" w:cs="Sylfaen"/>
          <w:position w:val="10"/>
          <w:sz w:val="16"/>
          <w:szCs w:val="16"/>
        </w:rPr>
        <w:t>7</w:t>
      </w:r>
      <w:r>
        <w:rPr>
          <w:rFonts w:ascii="Sylfaen" w:hAnsi="Sylfaen" w:cs="Sylfaen"/>
          <w:sz w:val="24"/>
          <w:szCs w:val="24"/>
        </w:rPr>
        <w:t>–44</w:t>
      </w:r>
      <w:r>
        <w:rPr>
          <w:rFonts w:ascii="Sylfaen" w:hAnsi="Sylfaen" w:cs="Sylfaen"/>
          <w:position w:val="10"/>
          <w:sz w:val="16"/>
          <w:szCs w:val="16"/>
        </w:rPr>
        <w:t>12</w:t>
      </w:r>
      <w:r>
        <w:rPr>
          <w:rFonts w:ascii="Sylfaen" w:hAnsi="Sylfaen" w:cs="Sylfaen"/>
          <w:sz w:val="24"/>
          <w:szCs w:val="24"/>
        </w:rPr>
        <w:t>,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46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50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–55</w:t>
      </w:r>
      <w:r>
        <w:rPr>
          <w:rFonts w:ascii="Sylfaen" w:hAnsi="Sylfaen" w:cs="Sylfaen"/>
          <w:position w:val="10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>,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59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, 59</w:t>
      </w:r>
      <w:r>
        <w:rPr>
          <w:rFonts w:ascii="Sylfaen" w:hAnsi="Sylfaen" w:cs="Sylfaen"/>
          <w:position w:val="10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-60, 60</w:t>
      </w:r>
      <w:r>
        <w:rPr>
          <w:rFonts w:ascii="Sylfaen" w:hAnsi="Sylfaen" w:cs="Sylfaen"/>
          <w:position w:val="10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>, 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61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63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71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72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–82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, 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–89</w:t>
      </w:r>
      <w:r>
        <w:rPr>
          <w:rFonts w:ascii="Sylfaen" w:hAnsi="Sylfaen" w:cs="Sylfaen"/>
          <w:position w:val="10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>, 91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, 94-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99-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100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100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, 103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104-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105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127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128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–128</w:t>
      </w:r>
      <w:r>
        <w:rPr>
          <w:rFonts w:ascii="Sylfaen" w:hAnsi="Sylfaen" w:cs="Sylfaen"/>
          <w:position w:val="10"/>
          <w:sz w:val="16"/>
          <w:szCs w:val="16"/>
        </w:rPr>
        <w:t>5</w:t>
      </w:r>
      <w:r>
        <w:rPr>
          <w:rFonts w:ascii="Sylfaen" w:hAnsi="Sylfaen" w:cs="Sylfaen"/>
          <w:sz w:val="24"/>
          <w:szCs w:val="24"/>
        </w:rPr>
        <w:t>, 143-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144</w:t>
      </w:r>
      <w:r>
        <w:rPr>
          <w:rFonts w:ascii="Sylfaen" w:hAnsi="Sylfaen" w:cs="Sylfaen"/>
          <w:position w:val="10"/>
          <w:sz w:val="16"/>
          <w:szCs w:val="16"/>
        </w:rPr>
        <w:t>10</w:t>
      </w:r>
      <w:r>
        <w:rPr>
          <w:rFonts w:ascii="Sylfaen" w:hAnsi="Sylfaen" w:cs="Sylfaen"/>
          <w:sz w:val="24"/>
          <w:szCs w:val="24"/>
        </w:rPr>
        <w:t>, 145-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146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148-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152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–153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Sylfaen" w:hAnsi="Sylfaen" w:cs="Sylfaen"/>
          <w:position w:val="10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>–153</w:t>
      </w:r>
      <w:r>
        <w:rPr>
          <w:rFonts w:ascii="Sylfaen" w:hAnsi="Sylfaen" w:cs="Sylfaen"/>
          <w:position w:val="10"/>
          <w:sz w:val="16"/>
          <w:szCs w:val="16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Sylfaen" w:hAnsi="Sylfaen" w:cs="Sylfaen"/>
          <w:position w:val="10"/>
          <w:sz w:val="16"/>
          <w:szCs w:val="16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154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, 155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–156-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157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–158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159-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159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159</w:t>
      </w:r>
      <w:r>
        <w:rPr>
          <w:rFonts w:ascii="Sylfaen" w:hAnsi="Sylfaen" w:cs="Sylfaen"/>
          <w:position w:val="10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>–159</w:t>
      </w:r>
      <w:r>
        <w:rPr>
          <w:rFonts w:ascii="Sylfaen" w:hAnsi="Sylfaen" w:cs="Sylfaen"/>
          <w:position w:val="10"/>
          <w:sz w:val="16"/>
          <w:szCs w:val="16"/>
        </w:rPr>
        <w:t>10</w:t>
      </w:r>
      <w:r>
        <w:rPr>
          <w:rFonts w:ascii="Sylfaen" w:hAnsi="Sylfaen" w:cs="Sylfaen"/>
          <w:sz w:val="24"/>
          <w:szCs w:val="24"/>
        </w:rPr>
        <w:t>, 163-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164</w:t>
      </w:r>
      <w:r>
        <w:rPr>
          <w:rFonts w:ascii="Sylfaen" w:hAnsi="Sylfaen" w:cs="Sylfaen"/>
          <w:position w:val="10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>, 165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–165</w:t>
      </w:r>
      <w:r>
        <w:rPr>
          <w:rFonts w:ascii="Sylfaen" w:hAnsi="Sylfaen" w:cs="Sylfaen"/>
          <w:position w:val="10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>, 166-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167-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171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172</w:t>
      </w:r>
      <w:r>
        <w:rPr>
          <w:rFonts w:ascii="Sylfaen" w:hAnsi="Sylfaen" w:cs="Sylfaen"/>
          <w:position w:val="10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>, 172</w:t>
      </w:r>
      <w:r>
        <w:rPr>
          <w:rFonts w:ascii="Sylfaen" w:hAnsi="Sylfaen" w:cs="Sylfaen"/>
          <w:position w:val="10"/>
          <w:sz w:val="16"/>
          <w:szCs w:val="16"/>
        </w:rPr>
        <w:t>5</w:t>
      </w:r>
      <w:r>
        <w:rPr>
          <w:rFonts w:ascii="Sylfaen" w:hAnsi="Sylfaen" w:cs="Sylfaen"/>
          <w:sz w:val="24"/>
          <w:szCs w:val="24"/>
        </w:rPr>
        <w:t>, 173-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10"/>
          <w:sz w:val="16"/>
          <w:szCs w:val="16"/>
        </w:rPr>
        <w:t>4</w:t>
      </w:r>
      <w:r>
        <w:rPr>
          <w:rFonts w:ascii="Sylfaen" w:hAnsi="Sylfaen" w:cs="Sylfaen"/>
          <w:sz w:val="24"/>
          <w:szCs w:val="24"/>
        </w:rPr>
        <w:t>–173</w:t>
      </w:r>
      <w:r>
        <w:rPr>
          <w:rFonts w:ascii="Sylfaen" w:hAnsi="Sylfaen" w:cs="Sylfaen"/>
          <w:position w:val="10"/>
          <w:sz w:val="16"/>
          <w:szCs w:val="16"/>
        </w:rPr>
        <w:t>7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10"/>
          <w:sz w:val="16"/>
          <w:szCs w:val="16"/>
        </w:rPr>
        <w:t>9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10"/>
          <w:sz w:val="16"/>
          <w:szCs w:val="16"/>
        </w:rPr>
        <w:t>12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174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174</w:t>
      </w:r>
      <w:r>
        <w:rPr>
          <w:rFonts w:ascii="Sylfaen" w:hAnsi="Sylfaen" w:cs="Sylfaen"/>
          <w:position w:val="10"/>
          <w:sz w:val="16"/>
          <w:szCs w:val="16"/>
        </w:rPr>
        <w:t>15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175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175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10"/>
          <w:sz w:val="16"/>
          <w:szCs w:val="16"/>
        </w:rPr>
        <w:t>8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10"/>
          <w:sz w:val="16"/>
          <w:szCs w:val="16"/>
        </w:rPr>
        <w:t>9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10"/>
          <w:sz w:val="16"/>
          <w:szCs w:val="16"/>
        </w:rPr>
        <w:t>11</w:t>
      </w:r>
      <w:r>
        <w:rPr>
          <w:rFonts w:ascii="Sylfaen" w:hAnsi="Sylfaen" w:cs="Sylfaen"/>
          <w:sz w:val="24"/>
          <w:szCs w:val="24"/>
        </w:rPr>
        <w:t>, 178-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179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–179</w:t>
      </w:r>
      <w:r>
        <w:rPr>
          <w:rFonts w:ascii="Sylfaen" w:hAnsi="Sylfaen" w:cs="Sylfaen"/>
          <w:position w:val="10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>,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181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183-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187-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–187</w:t>
      </w:r>
      <w:r>
        <w:rPr>
          <w:rFonts w:ascii="Sylfaen" w:hAnsi="Sylfaen" w:cs="Sylfaen"/>
          <w:position w:val="10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>, 189-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196</w:t>
      </w:r>
      <w:r>
        <w:rPr>
          <w:rFonts w:ascii="Sylfaen" w:hAnsi="Sylfaen" w:cs="Sylfaen"/>
          <w:position w:val="10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>, 196</w:t>
      </w:r>
      <w:r>
        <w:rPr>
          <w:rFonts w:ascii="Sylfaen" w:hAnsi="Sylfaen" w:cs="Sylfaen"/>
          <w:position w:val="10"/>
          <w:sz w:val="16"/>
          <w:szCs w:val="16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197</w:t>
      </w:r>
      <w:r>
        <w:rPr>
          <w:rFonts w:ascii="Sylfaen" w:hAnsi="Sylfaen" w:cs="Sylfaen"/>
          <w:position w:val="10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.</w:t>
      </w:r>
    </w:p>
    <w:p w14:paraId="5AC8800F" w14:textId="77777777" w:rsidR="00000000" w:rsidRDefault="00AE3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209-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8E59F35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107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107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108-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114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114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116-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118-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119-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127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, 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128-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129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131-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საავტომობი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სამართალდარღვევებისათვის</w:t>
      </w:r>
      <w:r>
        <w:rPr>
          <w:rFonts w:ascii="Sylfaen" w:hAnsi="Sylfaen" w:cs="Sylfaen"/>
          <w:sz w:val="24"/>
          <w:szCs w:val="24"/>
        </w:rPr>
        <w:t>), 134-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155-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172-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174</w:t>
      </w:r>
      <w:r>
        <w:rPr>
          <w:rFonts w:ascii="Sylfaen" w:hAnsi="Sylfaen" w:cs="Sylfaen"/>
          <w:position w:val="12"/>
          <w:sz w:val="24"/>
          <w:szCs w:val="24"/>
        </w:rPr>
        <w:t>15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ნაწილისა</w:t>
      </w:r>
      <w:r>
        <w:rPr>
          <w:rFonts w:ascii="Sylfaen" w:hAnsi="Sylfaen" w:cs="Sylfaen"/>
          <w:sz w:val="24"/>
          <w:szCs w:val="24"/>
        </w:rPr>
        <w:t>), 174</w:t>
      </w:r>
      <w:r>
        <w:rPr>
          <w:rFonts w:ascii="Sylfaen" w:hAnsi="Sylfaen" w:cs="Sylfaen"/>
          <w:position w:val="12"/>
          <w:sz w:val="24"/>
          <w:szCs w:val="24"/>
        </w:rPr>
        <w:t>16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176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181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182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182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190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.“.</w:t>
      </w:r>
    </w:p>
    <w:p w14:paraId="7C199356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239-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7C363756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58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114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114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116-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118-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127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, 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139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 150-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Sylfaen" w:hAnsi="Sylfaen" w:cs="Sylfaen"/>
          <w:position w:val="12"/>
          <w:sz w:val="24"/>
          <w:szCs w:val="24"/>
        </w:rPr>
        <w:t xml:space="preserve">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174</w:t>
      </w:r>
      <w:r>
        <w:rPr>
          <w:rFonts w:ascii="Sylfaen" w:hAnsi="Sylfaen" w:cs="Sylfaen"/>
          <w:position w:val="12"/>
          <w:sz w:val="24"/>
          <w:szCs w:val="24"/>
        </w:rPr>
        <w:t>15</w:t>
      </w:r>
      <w:r>
        <w:rPr>
          <w:rFonts w:ascii="Sylfaen" w:hAnsi="Sylfaen" w:cs="Sylfaen"/>
          <w:sz w:val="24"/>
          <w:szCs w:val="24"/>
        </w:rPr>
        <w:t>, 174</w:t>
      </w:r>
      <w:r>
        <w:rPr>
          <w:rFonts w:ascii="Sylfaen" w:hAnsi="Sylfaen" w:cs="Sylfaen"/>
          <w:position w:val="12"/>
          <w:sz w:val="24"/>
          <w:szCs w:val="24"/>
        </w:rPr>
        <w:t>16</w:t>
      </w:r>
      <w:r>
        <w:rPr>
          <w:rFonts w:ascii="Sylfaen" w:hAnsi="Sylfaen" w:cs="Sylfaen"/>
          <w:sz w:val="24"/>
          <w:szCs w:val="24"/>
        </w:rPr>
        <w:t>, 175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176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–183-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190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lastRenderedPageBreak/>
        <w:t>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197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>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.“.  </w:t>
      </w:r>
    </w:p>
    <w:p w14:paraId="46F5CA10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</w:t>
      </w:r>
      <w:r>
        <w:rPr>
          <w:rFonts w:ascii="Sylfaen" w:hAnsi="Sylfaen" w:cs="Sylfaen"/>
          <w:sz w:val="24"/>
          <w:szCs w:val="24"/>
        </w:rPr>
        <w:t>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2005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აგვისტოს</w:t>
      </w:r>
      <w:r>
        <w:rPr>
          <w:rFonts w:ascii="Sylfaen" w:hAnsi="Sylfaen" w:cs="Sylfaen"/>
          <w:sz w:val="24"/>
          <w:szCs w:val="24"/>
        </w:rPr>
        <w:t xml:space="preserve"> №792 </w:t>
      </w:r>
      <w:r>
        <w:rPr>
          <w:rFonts w:ascii="Sylfaen" w:hAnsi="Sylfaen" w:cs="Sylfaen"/>
          <w:sz w:val="24"/>
          <w:szCs w:val="24"/>
        </w:rPr>
        <w:t>ბრძანებაში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E55B056" w14:textId="77777777" w:rsidR="00000000" w:rsidRDefault="00AE38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</w:t>
      </w:r>
    </w:p>
    <w:p w14:paraId="185ABBFF" w14:textId="77777777" w:rsidR="00000000" w:rsidRDefault="00AE38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</w:t>
      </w:r>
    </w:p>
    <w:p w14:paraId="6BEAD690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.</w:t>
      </w:r>
    </w:p>
    <w:p w14:paraId="2B36439B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14:paraId="5BCC5D5C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14:paraId="4A267A46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14:paraId="412D9FD4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0E595E09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მარტი</w:t>
      </w:r>
      <w:r>
        <w:rPr>
          <w:rFonts w:ascii="Sylfaen" w:hAnsi="Sylfaen" w:cs="Sylfaen"/>
          <w:sz w:val="24"/>
          <w:szCs w:val="24"/>
        </w:rPr>
        <w:t>.</w:t>
      </w:r>
    </w:p>
    <w:p w14:paraId="157946D4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№2046-II</w:t>
      </w:r>
      <w:r>
        <w:rPr>
          <w:rFonts w:ascii="Sylfaen" w:hAnsi="Sylfaen" w:cs="Sylfaen"/>
          <w:sz w:val="24"/>
          <w:szCs w:val="24"/>
        </w:rPr>
        <w:t>ს</w:t>
      </w:r>
    </w:p>
    <w:p w14:paraId="689EF866" w14:textId="77777777" w:rsidR="00000000" w:rsidRDefault="00AE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3864"/>
    <w:rsid w:val="00A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167A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