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ნარჩენების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ამოცანა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რეციკლირებას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გამოცალკევებას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ატმოსფეროში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გაფრქვევები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პირვანდელ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ამოუღებელი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განუყოფლად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დაუბინძურებელი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ნიადაგი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ბუნებაში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გათხრების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აშკარაა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ფეკალური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ნაკელი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ფერმერულ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მეურნეობაში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lastRenderedPageBreak/>
        <w:t>ისეთი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პროცესებისა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მეთოდების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საფრთხეს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უქმნის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ადამიანის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>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დაუბინძურებელი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განზრახული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მოიშოროს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მოიშოროს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განიცდის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იხსნება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რეაქციაში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განიცდის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ბიოდეგრადაციას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ძურებას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ანაერობულ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მუყაო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ლაბორატორიების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ვეტერინარული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კლინიკების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საწყობების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ცხოველური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ცხოველური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ცხოველური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lastRenderedPageBreak/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ცხოველისგან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ოხმარებისთვის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(EC) No 1069/2009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ძრავიანი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ბატარეა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აკუმულატორი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ედეგადაც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გადამზიდველი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I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დანართის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R12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II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დანართის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D13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>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მიტოვება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კონტეინერებისა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გადაქცევამდე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ამცირებს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ვარგისობის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რეციკლირებას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გადაქცევამდე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გასუფთავება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რეციკლირება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რეციკლირება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საწვავად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დახარისხებას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დასაწყობებას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სეპარირებული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განცალკევებულია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ჭ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გადამტვირთავი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გადამტვირთავი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გადატვირთვა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გადამტვირთავ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ინსინერაციის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თერმული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დაჟანგვით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ოქსიდაციით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ინსინირების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თერმული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პიროლიზი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პლაზმური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ინსინირებულია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თანაინსინერაციის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საწვავად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თერმულად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დაჟანგვით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ოქსიდაციით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ინსინირების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თერმული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პიროლიზი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პლაზმური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ინსინირებულია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(07.12.2017. N1692)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სინთეტიკური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ლუბრიკანტი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უვარგისი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ძრავას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საპოხი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ტურბინის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დრავლიკური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დამაბინძურებელი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მოხვედრა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ედლეული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იერარქია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იერარქიას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რეციკლირება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იერარქიასთან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ფაუნას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ხმაურითა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მაშინაც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დამბინძურებელი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სიახლოვის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კომპეტენციები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№1449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რეციკლირების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3065)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(07.12.2017. N1692)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გადამტვირთავი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№6921)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№6921)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დასუფთავების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 (24.06.2016 N5563)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დაამუშაონ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წარმომქმნელის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დასამუშავებლად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თე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ბერვლიდან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თანაინსინერაციის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დანაგვიანების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დაასუფთაოს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დამნაგვიანებელს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დასუფთავება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დამნაგვიანებლის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დასუფთავების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დასუფთავების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გაფართოებული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განმათავსებელმა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იზრუნონ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გამძლეა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ხელსაყრელია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რეციკლირება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გაფართოებულ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გადასახდელებისა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სუბსიდიების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შემოღება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სუბსიდიები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დაგეგმვა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სტრატეგიები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რეციკლირებისთვის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დამბინძურებლები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ვერცხლისწყალი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აზბესტის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მოსაზღვრე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ახლეობისგან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(07.12.2017. N1692)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ამცირებს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№6921)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შესაგროვებლად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დასამუშავებლად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წარმომქმნ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Style w:val="apple-converted-space"/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 xml:space="preserve">(1.06.2017. N898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ეინერებში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წარმომქმნელს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(07.12.2017. N1692)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მიკვლევადობის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დამბინძურებლების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რჩენებისადმი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აზბესტის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ნაგავსაყრელი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ინერტული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ინერტული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ინერტული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გამოსადეგია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ამოვსების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ამოვსებითი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Style w:val="apple-converted-space"/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მოწყობასთან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ოპერირებასთან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დახურვასთან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მოვლასთან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ნაგავსაყრელს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ნაგავსაყრელების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დახურვისა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თავრობის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18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შეუთანხმოს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მოყვანის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Style w:val="apple-converted-space"/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Style w:val="apple-converted-space"/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N898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ექვემდებარება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 xml:space="preserve">(1.06.2017. N898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დამუშავებასთა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 xml:space="preserve">(1.06.2017. N898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გადამტვირთავი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რეესტრი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 xml:space="preserve">(1.06.2017. N898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Style w:val="apple-converted-space"/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გადაზიდვა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გადაზიდვა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N4956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ბაზა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ეკისრებათ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(24.06.2016 N5563)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24-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26-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წარმომქმნელს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ტონაზე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წარმოიქმნება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ამოქმ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ედდეს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hAnsi="Sylfaen" w:cs="Sylfaen"/>
          <w:sz w:val="24"/>
          <w:szCs w:val="24"/>
          <w:lang w:eastAsia="x-non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საბურავით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ველოსიპედის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საბურავისა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hAnsi="Sylfaen" w:cs="Sylfaen"/>
          <w:sz w:val="24"/>
          <w:szCs w:val="24"/>
          <w:lang w:eastAsia="x-non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საბურავით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ველოსიპედის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საბურავისა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0" w:name="page5"/>
      <w:bookmarkEnd w:id="0"/>
      <w:r>
        <w:rPr>
          <w:rFonts w:ascii="Sylfaen" w:hAnsi="Sylfaen" w:cs="Sylfaen"/>
          <w:sz w:val="24"/>
          <w:szCs w:val="24"/>
          <w:lang w:val="ka-GE" w:eastAsia="ka-GE"/>
        </w:rPr>
        <w:t xml:space="preserve">     6. </w:t>
      </w:r>
      <w:r>
        <w:rPr>
          <w:rFonts w:ascii="Sylfaen" w:hAnsi="Sylfaen" w:cs="Sylfaen"/>
          <w:sz w:val="24"/>
          <w:szCs w:val="24"/>
          <w:lang w:eastAsia="x-non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აკუმულატორის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ელექტრონათურის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მჩხვლეტავი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ნამსხვრევის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ლურსმნის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hAnsi="Sylfaen" w:cs="Sylfaen"/>
          <w:sz w:val="24"/>
          <w:szCs w:val="24"/>
          <w:lang w:eastAsia="x-non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კონტეინერში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არადანიშნულებისამებრ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კონტეინერში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ფოტოფირზე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დაასუფთაოს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ინერტული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ნარჩენებით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დანაგვიანება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hAnsi="Sylfaen" w:cs="Sylfaen"/>
          <w:sz w:val="24"/>
          <w:szCs w:val="24"/>
          <w:lang w:eastAsia="x-none"/>
        </w:rPr>
        <w:t xml:space="preserve">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1" w:name="page6"/>
      <w:bookmarkEnd w:id="1"/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hAnsi="Sylfaen" w:cs="Sylfaen"/>
          <w:sz w:val="24"/>
          <w:szCs w:val="24"/>
          <w:lang w:eastAsia="x-none"/>
        </w:rPr>
        <w:t xml:space="preserve">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დაასუფთაოს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დანაგვიანებული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შლამისებრ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ფეკალური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მასებით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კანალიზაციის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400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მეპატრონეს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დაასუფთავებს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დანაგვიან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სასაკლაოდან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სასაკლაოდან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დაასუფთაოს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საწვავ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დანადგარში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bookmarkStart w:id="2" w:name="page7"/>
      <w:bookmarkEnd w:id="2"/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ელასტომერული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ალდებულებების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pStyle w:val="NormalWeb"/>
        <w:spacing w:before="0" w:after="0"/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apple-converted-space"/>
          <w:rFonts w:ascii="Sylfaen" w:hAnsi="Sylfaen" w:cs="Sylfaen"/>
          <w:lang w:val="ka-GE" w:eastAsia="ka-GE"/>
        </w:rPr>
        <w:t xml:space="preserve"> (1.06.2017. N898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lang w:val="ka-GE" w:eastAsia="ka-GE"/>
        </w:rPr>
        <w:t>)</w:t>
      </w:r>
    </w:p>
    <w:p w:rsidR="00000000" w:rsidRDefault="00F73B6E">
      <w:pPr>
        <w:pStyle w:val="NormalWeb"/>
        <w:spacing w:before="0" w:after="0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 xml:space="preserve">5. 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მფლობელი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მეწარმე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სახიფათო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პირისთვის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–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ტრანს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პორტირებისას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ტრანსპორტ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ირების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(24.06.2016 N5563)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)</w:t>
      </w:r>
    </w:p>
    <w:p w:rsidR="00000000" w:rsidRDefault="00F73B6E">
      <w:pPr>
        <w:shd w:val="clear" w:color="auto" w:fill="FFFFFF"/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200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დაჯარიმე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ბას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400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F73B6E">
      <w:pPr>
        <w:pStyle w:val="NormalWeb"/>
        <w:spacing w:before="0" w:after="0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სწარი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შენახვ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გადამტვირთავი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shd w:val="clear" w:color="auto" w:fill="FFFFFF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. 50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შეუმუშავებლობა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(24.06.2016 N5563)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color w:val="40404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color w:val="40404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bookmarkStart w:id="3" w:name="page8"/>
      <w:bookmarkEnd w:id="3"/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31-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–45-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მუხლებით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ოქმების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შედგენის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მოთხოვნ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ათა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ka-GE" w:eastAsia="ka-GE"/>
        </w:rPr>
        <w:t>შეუსრულებლობა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გაორმაგებას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№2198)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გაორმაგებას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გაოთხმაგებას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(1.06.2017. N898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ოდენობითა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–34-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, 36-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37-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დაბინძურებული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დანაგვიანებული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დასუფთავების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ნიშნული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დასუფთავებას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დასუფთავების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31-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–34-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, 36-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,  37-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38-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მუხლებითა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-40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ოქმებს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ადგენენ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შინაგან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შუალების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იქნება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შინაგან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შეესწრება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დააფიქსირებს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ფაქტს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№2198)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დააფიქსირებს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(24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შეუფარდებს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(21.12.2016. N124)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№5302)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გამოსაცემი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№5302)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თანაინსინერაციის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4.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(21.12.2016. N124)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3065)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7. 2017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31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საქართვე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სოფლის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გამოსცენ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ერთობლივი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აქტი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ცხოველური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9. 2016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გარემოსა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ბუნებრივი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რესურსე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მინისტრმა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ნუსხა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10.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პლასტიკის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№2198)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F73B6E">
      <w:pPr>
        <w:tabs>
          <w:tab w:val="left" w:pos="2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(21.12.2016. N124)</w:t>
      </w:r>
    </w:p>
    <w:p w:rsidR="00000000" w:rsidRDefault="00F73B6E">
      <w:pPr>
        <w:tabs>
          <w:tab w:val="left" w:pos="2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(21.12.2016. N124)</w:t>
      </w:r>
    </w:p>
    <w:p w:rsidR="00000000" w:rsidRDefault="00F73B6E">
      <w:pPr>
        <w:tabs>
          <w:tab w:val="left" w:pos="2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(21.12.2016. N124)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N124)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(21.12.2016. N124)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N2994-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ოპერაციები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R 1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R 2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გამხსნელის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R3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რეციკლირება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გამხსნელები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)[1]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R 4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რეციკლირება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R 5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რეციკლირება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[2]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R 6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მჟავების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რეგენერაცია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R7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აღდგენა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გამოიყენება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R 8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კატალიზატორებიდან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R 9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R 10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აუმჯობესებს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R 11   R1-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R10-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R 12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R1-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R11[3]-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R 13     R1-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R12-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[1]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გაზიფიკაციასა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[2]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მოიცავს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ნიადაგის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აღდგენისა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არაორგანული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მასალების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რეციკლირების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ნიადაგის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გაწმენდას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[3]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R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დაშლა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სორტირება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დამსხვრევა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დაპრესვა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გრანულირება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გაშრობა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დაქუცმაცება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კონდიცირება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გადაფუთვა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სეპარირება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R1-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R11-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კოდებში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მოცემული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ოპერაცი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ჩაბარებამდე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ოპერაციები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D 1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2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ლექისე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3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ჭაბურღილებში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მარილოვან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თაღებში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რეზერვუარებში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4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ლექისებრი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ქვაბულებში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გუბურებში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აუზებში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5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უჯრედებში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6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წყალსატევებში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ოკეანეებისა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7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ოკეანეებში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ფსკერზე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ჩამარხვა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8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9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აორთქლება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კალცინირება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10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ინსინერაცია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11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[1]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12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13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[2]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D 14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გადაფუთვა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D 15    D1-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D14-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[1]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[2]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D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სორტირება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მსხვრევა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დაპრესვა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გრანულირება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გაშრობა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დაქუცმაცება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კონდიცირება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სეპარირება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D1-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D12-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კოდებში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მოცემული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ოპერაციის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ჩაბარებამდე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(24.06.2016 N5563)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მახასიათებლები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</w:p>
    <w:p w:rsidR="00000000" w:rsidRDefault="00F73B6E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270" w:hanging="2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H 1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ხახუნის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მგრძნობიარეა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დინიტრობენზოლი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მჟანგავი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H 2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ეგზოთერმულ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“: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•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21°C-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•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გაცხელდეს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გაუჩნდეს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H 3-A  •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შთანთქმას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•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აალებადია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წნევაზე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•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ჰაერთან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აირებს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3-B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აალების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21°C-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55°C-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გამაღიზიანებელი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არაკოროზიული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H 4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ლორწოვან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მემბრანასთან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განგრძობადი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90" w:hanging="9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5 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შესუნთქვა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ჩაყლაპვა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</w:p>
    <w:p w:rsidR="00000000" w:rsidRDefault="00F73B6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90" w:hanging="9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6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შესუნთქვის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ჩაყლაპვის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კვეთრი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7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კანცეროგენული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შესუნთქვის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ჩაყლაპვის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სიმსივნე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8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კოროზიულ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ქსოვილთან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9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მიკროორგანიზმებს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10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რეპროდუქციისთვის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შესუნთქვის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ჩაყლაპვის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არამემკვიდრეობითი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თანდაყოლილი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პათოლოგი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11 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მუტაგენური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შესუნთქვის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ჩაყლაპვის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H 12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მჟავასთან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13[1]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სენსიბილური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ჩაყლაპვის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ჰიპერმ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გრძნობიარე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H 14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H 15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გამონაჟონი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H1–H14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[1]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73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73B6E"/>
    <w:rsid w:val="00F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12305</Words>
  <Characters>70145</Characters>
  <Application>Microsoft Office Word</Application>
  <DocSecurity>0</DocSecurity>
  <Lines>584</Lines>
  <Paragraphs>164</Paragraphs>
  <ScaleCrop>false</ScaleCrop>
  <Company/>
  <LinksUpToDate>false</LinksUpToDate>
  <CharactersWithSpaces>82286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