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044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</w:t>
      </w:r>
    </w:p>
    <w:p w14:paraId="6C46045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5208B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5C91423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14:paraId="4BA70B1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261E8B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6128BE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კანონმდებლობა</w:t>
      </w:r>
    </w:p>
    <w:p w14:paraId="7333F74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14:paraId="2BA34DC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2EC324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2A52676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კანონმდებლობა</w:t>
      </w:r>
    </w:p>
    <w:p w14:paraId="365498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666E434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F17C8A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14:paraId="3E79313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A61EB9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ვიქტიმიზაციისა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ვიქტიმიზაციის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996D25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A0F79E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EC4F5F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ანალოგია</w:t>
      </w:r>
    </w:p>
    <w:p w14:paraId="451C535A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6AB688FF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.(30.05.2018.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77B28EA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8178BB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5A57A67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F9961B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ხომალდზე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A47994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ანხმებათა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hAnsi="Sylfaen" w:cs="Sylfaen"/>
          <w:sz w:val="24"/>
          <w:szCs w:val="24"/>
          <w:lang w:eastAsia="x-none"/>
        </w:rPr>
        <w:t xml:space="preserve">.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57D112B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C8A87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EF4965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მიზნებისათვის</w:t>
      </w:r>
    </w:p>
    <w:p w14:paraId="1838FDD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D6E362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8217B3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7800A0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116-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            150-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eastAsia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153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153</w:t>
      </w:r>
      <w:r>
        <w:rPr>
          <w:rFonts w:eastAsia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157-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174</w:t>
      </w:r>
      <w:r>
        <w:rPr>
          <w:rFonts w:eastAsia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174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15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175</w:t>
      </w:r>
      <w:r>
        <w:rPr>
          <w:rFonts w:eastAsia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177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181</w:t>
      </w:r>
      <w:r>
        <w:rPr>
          <w:rFonts w:eastAsia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(30.11.2018 N3777)</w:t>
      </w:r>
    </w:p>
    <w:p w14:paraId="360C7DD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45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2 </w:t>
      </w:r>
      <w:r>
        <w:rPr>
          <w:rFonts w:eastAsia="Times New Roman"/>
          <w:sz w:val="24"/>
          <w:szCs w:val="24"/>
          <w:lang w:val="en-US"/>
        </w:rPr>
        <w:t>​​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eastAsia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155</w:t>
      </w:r>
      <w:r>
        <w:rPr>
          <w:rFonts w:eastAsia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174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174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175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181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14:paraId="1845554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გამამტყუნებე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14:paraId="36E5AE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46D144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7AFA13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7C78D8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(04.05.2018.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№2271)</w:t>
      </w:r>
    </w:p>
    <w:p w14:paraId="3D8D14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854EB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გააცნობი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გამოასწოროს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შეურიგდეს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ED4B2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დიალოგის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66A057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C618E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9891F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9258CD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13.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09936E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0DCF09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ვიქტიმიზაცია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07EB6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ვიქტიმიზაცია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5DE16D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რუქტურითა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ათავსებენ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41E58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დასამკვიდრებლად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3C84E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პაპა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(4.05.2017. N750)</w:t>
      </w:r>
    </w:p>
    <w:p w14:paraId="7BC3FB5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88D4B5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4F90E8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14:paraId="0541EAA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CD310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პრიორიტეტულობა</w:t>
      </w:r>
    </w:p>
    <w:p w14:paraId="583A90C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უპირველეს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D004D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C57A0C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აკრძალვა</w:t>
      </w:r>
    </w:p>
    <w:p w14:paraId="68C09E6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088DB2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D4B96C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ჰარმონიული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14:paraId="37E3E13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C4449D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2D243F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თანაზომიერება</w:t>
      </w:r>
    </w:p>
    <w:p w14:paraId="7785C8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27BD06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2F7A2A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საშუალებისა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პრიორიტეტულობა</w:t>
      </w:r>
    </w:p>
    <w:p w14:paraId="31282F0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DA0B5C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96B2AE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F5A9B7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20A139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უკიდურესი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ღონისძიება</w:t>
      </w:r>
    </w:p>
    <w:p w14:paraId="179F7EE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CD30F1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14:paraId="27F7F77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6EDE97C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</w:p>
    <w:p w14:paraId="6C729D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40DD4C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1A8DE7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66A4A1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6A9920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52D9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F71B27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გაჭიანურების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დაუშვებლობა</w:t>
      </w:r>
    </w:p>
    <w:p w14:paraId="07D980A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გაუმართლებელი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გაჭიანურების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E29D20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პრიორიტეტულად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56B08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643F54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ნასამართლობა</w:t>
      </w:r>
    </w:p>
    <w:p w14:paraId="0826515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გაქარწყლებულად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10AF2D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გაუქარწყლდება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C13B89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9E3EF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0E1909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87415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87B984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8D77D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63A643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დაცულობა</w:t>
      </w:r>
    </w:p>
    <w:p w14:paraId="3923834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26FE07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ნასამართლობისა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903B68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E7E762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არასრულწლოვნისადმი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მიდგომა</w:t>
      </w:r>
    </w:p>
    <w:p w14:paraId="348825A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618CC2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ყურადღებით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მოეპყრას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05C201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948409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14:paraId="73E1BA3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XIX, XX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XXII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>144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№2390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35B1AB0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</w:t>
      </w:r>
      <w:r>
        <w:rPr>
          <w:rFonts w:ascii="Sylfaen" w:hAnsi="Sylfaen" w:cs="Sylfaen"/>
          <w:sz w:val="24"/>
          <w:szCs w:val="24"/>
          <w:lang w:eastAsia="x-none"/>
        </w:rPr>
        <w:t xml:space="preserve">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№2390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7BFAAC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ACA6AE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შესატყვისი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27309F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52F6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3DA3E1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68C238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3C274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3BC50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1A7C1DE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მწარმოებელი</w:t>
      </w:r>
    </w:p>
    <w:p w14:paraId="2694FE7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პირები</w:t>
      </w:r>
    </w:p>
    <w:p w14:paraId="3CF2EE4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4EAAF0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14:paraId="0EEB9DF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მწარმოებელი</w:t>
      </w:r>
    </w:p>
    <w:p w14:paraId="0017928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სპეციალიზაცია</w:t>
      </w:r>
    </w:p>
    <w:p w14:paraId="235C11D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E2446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სპეციალიზაცია</w:t>
      </w:r>
    </w:p>
    <w:p w14:paraId="70A5569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არასპეციალიზებულმა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ჩამოშორდეს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11F7865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FE9AD5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2AAE3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0F8C8B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განხილვა</w:t>
      </w:r>
    </w:p>
    <w:p w14:paraId="3338AE4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081E00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7C8CB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3015D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9C2912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პროკურორი</w:t>
      </w:r>
    </w:p>
    <w:p w14:paraId="184759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4512A3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8CC7EE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82C58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პოლიციელი</w:t>
      </w:r>
    </w:p>
    <w:p w14:paraId="7859783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669C3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A83E51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0F8678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ადვოკატი</w:t>
      </w:r>
    </w:p>
    <w:p w14:paraId="14A8FE3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22D38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E632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93E80E2" w14:textId="77777777" w:rsidR="00000000" w:rsidRDefault="007E3235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0DE30C5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A5CF57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B42A9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14:paraId="0776454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მოწმე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დაზარალებული</w:t>
      </w:r>
    </w:p>
    <w:p w14:paraId="5F4D50B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341D9F9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მოვალეობ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დაზარალებულზე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გავრცელება</w:t>
      </w:r>
    </w:p>
    <w:p w14:paraId="6F7F74E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7B401E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FBADCC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არასრულწლო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პირები</w:t>
      </w:r>
    </w:p>
    <w:p w14:paraId="5EB5A06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ვიქტიმიზაციისა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ვიქტიმიზაციის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ამოსაკითხ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78D779E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D6BFDE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F9BF6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3166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C486F5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E54E39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(04.05.2018.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№2271)</w:t>
      </w:r>
    </w:p>
    <w:p w14:paraId="04F6E230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№2271)</w:t>
      </w:r>
    </w:p>
    <w:p w14:paraId="0E4FFA1F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№664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3B30F5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№664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14:paraId="52D1FB99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№2271)</w:t>
      </w:r>
    </w:p>
    <w:p w14:paraId="5CADF931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№2271)</w:t>
      </w:r>
    </w:p>
    <w:p w14:paraId="193DBA2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1A119F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230337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13F1199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92F26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6A0865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№664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D106A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F7EC3C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2E97E9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869585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22DAE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14:paraId="3C354DC7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№664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F58E0D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5782DB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43E83E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3186C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D0DAFC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დაასწროს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№2390)</w:t>
      </w:r>
    </w:p>
    <w:p w14:paraId="111E4E6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2B178F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7D7974A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7C8F2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გაუმჭვირვალი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8D4B7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ვიდეოგადაღების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96300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BDAE8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ვიქტიმიზაცია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DC27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D8293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79B2E9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C69CA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1743FC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14:paraId="43BFAD5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</w:p>
    <w:p w14:paraId="2B6948E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011EBA8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14:paraId="12E5D8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</w:p>
    <w:p w14:paraId="16C1E12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6E7CE4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14:paraId="25E15CF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B81F6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9A50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0D6E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67117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15AEF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ინდივიდუალ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ანგარიში</w:t>
      </w:r>
    </w:p>
    <w:p w14:paraId="17E5FE1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509ED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E9FDE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BDC36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1FE53B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DF1CC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60C5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88A8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A9292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9CB6B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D19E2B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1A8F33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F44468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3F142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8DC749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22E8C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48E90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D21213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2B04FDA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829C4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B2D9C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59EDA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</w:p>
    <w:p w14:paraId="0EFE0BC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15FC4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(04.05.2018.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№2271)</w:t>
      </w:r>
    </w:p>
    <w:p w14:paraId="3D7AF6D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№664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14:paraId="315D97C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№2390)</w:t>
      </w:r>
    </w:p>
    <w:p w14:paraId="6E93EA0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(04.05.2018.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№2271)</w:t>
      </w:r>
    </w:p>
    <w:p w14:paraId="3B85243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7DCB5BE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9255E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F78C8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თარჯიმნისა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პროცესში</w:t>
      </w:r>
    </w:p>
    <w:p w14:paraId="40D848F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ილაპარაკოს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738DF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1AD21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FB8D0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5D63D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09CBE7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8F367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2A3C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(01.12.2016. N55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729F2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გამოყოფა</w:t>
      </w:r>
    </w:p>
    <w:p w14:paraId="1A51AFC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გასამართლდება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1601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60941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1F38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გამოძახება</w:t>
      </w:r>
    </w:p>
    <w:p w14:paraId="11C5E07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41B1D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4F5E5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E216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14:paraId="158CCF1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უშედეგოდ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F1F3C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შებორკვის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შესაბოჭი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N949)</w:t>
      </w:r>
    </w:p>
    <w:p w14:paraId="3E22299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FA2F30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51431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874EA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E218B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იმწუთიერ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DB049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4CD6A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D463F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0AFE1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C3E8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CB4A6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F117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14:paraId="3F316FC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პროცესი</w:t>
      </w:r>
    </w:p>
    <w:p w14:paraId="669A8B6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განხილვამდე</w:t>
      </w:r>
    </w:p>
    <w:p w14:paraId="51E29AE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D5E4BE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14:paraId="259242D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სისხლისსამართლებრი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</w:p>
    <w:p w14:paraId="771B2A3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</w:p>
    <w:p w14:paraId="682F605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8FB3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</w:p>
    <w:p w14:paraId="2FF3D8F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8D8224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A7B26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7393C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F9E16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494C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1B699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</w:p>
    <w:p w14:paraId="7CADA97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D4BAA6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D404D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CB398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6B909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96DDC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C7DF5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შერაცხადობა</w:t>
      </w:r>
    </w:p>
    <w:p w14:paraId="1AD096D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შერაცხადობის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3704B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BD38E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განრიდება</w:t>
      </w:r>
    </w:p>
    <w:p w14:paraId="523BB30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50029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8015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CC57E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5417E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</w:p>
    <w:p w14:paraId="72259F2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856A74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F5B429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გასაფორმებელი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16ED8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A431B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14C84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53EA2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წინაპირობები</w:t>
      </w:r>
    </w:p>
    <w:p w14:paraId="194A304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E2B25C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5430A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DB8B2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7717A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D29D5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EAB86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ამოხატავენ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B135F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6F0EF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დროს</w:t>
      </w:r>
    </w:p>
    <w:p w14:paraId="059D8D8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4AE9E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FD154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26C32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E1A628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05428B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500621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C0D52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­-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BDA16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E6497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9CE13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78374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EC3DE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10CFB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FC994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91532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2F932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2DEC0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გაფრთხილება</w:t>
      </w:r>
    </w:p>
    <w:p w14:paraId="2BC3C73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BE75B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B643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ღონისძიება</w:t>
      </w:r>
    </w:p>
    <w:p w14:paraId="6C436A3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­-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4E2CD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1C5B1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დაკისრება</w:t>
      </w:r>
    </w:p>
    <w:p w14:paraId="5DDECF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D20FA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AEE0B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EFBA0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C0677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4D768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C7F08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6357B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27E34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484EE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06C6E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09A2D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B84BB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3EC91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74B51DA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აღსაზრდელად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განთავსება</w:t>
      </w:r>
    </w:p>
    <w:p w14:paraId="633F15C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გარემოცვაში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(4.05.2017. N750)</w:t>
      </w:r>
    </w:p>
    <w:p w14:paraId="0634A28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4B15D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90BC6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</w:p>
    <w:p w14:paraId="6699A91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F7DA9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8A0F3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განრიდებისა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</w:p>
    <w:p w14:paraId="1576F04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EC7C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7EA5B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A8344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9E93BC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14:paraId="63A690B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გამოძიება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დევნა</w:t>
      </w:r>
    </w:p>
    <w:p w14:paraId="080B87E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D68F8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დაკავებისთანავე</w:t>
      </w:r>
    </w:p>
    <w:p w14:paraId="7F12ACC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7A48E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მიყვანისთანავე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4C534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23F14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EC483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მონაწილეობა</w:t>
      </w:r>
    </w:p>
    <w:p w14:paraId="5F9B903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DF8823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მიყვანიდან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A7876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03B46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2D59E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თვითმხილველია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DE64A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C953C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ხელმიუწვდომელია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A00F7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7D88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FA668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C3D1E7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7977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0BC72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E482E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7EC04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A3D80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A496F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დასახმარებლად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410BB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6BB1A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14:paraId="748BB17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მდედრობითი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23A22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10AB7B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№2390)</w:t>
      </w:r>
    </w:p>
    <w:p w14:paraId="228F4415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-2, 2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D33AE85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BB1CCC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0F4CC15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დააზუსტოს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A0CFA4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4A752F" w14:textId="77777777" w:rsidR="00000000" w:rsidRDefault="007E3235">
      <w:pPr>
        <w:spacing w:after="0" w:line="240" w:lineRule="auto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22:00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08:00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7E652A" w14:textId="77777777" w:rsidR="00000000" w:rsidRDefault="007E3235">
      <w:pPr>
        <w:spacing w:after="0" w:line="240" w:lineRule="auto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08:00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22:00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საპირფარეშოთი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FBD4F8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2630B1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26E738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811EEA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8BF377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707EAD5" w14:textId="77777777" w:rsidR="00000000" w:rsidRDefault="007E323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</w:p>
    <w:p w14:paraId="75C8B59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EBFF6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B21B9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გაშიშვლებას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A1F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07319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06690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8F86FC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E552F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AD1C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29940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210DD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1BB7A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6192B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46DC9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89395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6A7A9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ED58C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173C26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F5C9C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4AA16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14:paraId="5A1E922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</w:p>
    <w:p w14:paraId="61DADD8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247176A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2FE2EDF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14:paraId="2FD0072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</w:p>
    <w:p w14:paraId="5AAE542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DE595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</w:p>
    <w:p w14:paraId="2916594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6B46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7D14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სწრაფი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7083088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წაუყენებიათ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EB0D9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753F1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01F1C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A44CF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მონაწილეობა</w:t>
      </w:r>
    </w:p>
    <w:p w14:paraId="612936A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522BB3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746A2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18E66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4B086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8D55B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დასაშვებობა</w:t>
      </w:r>
    </w:p>
    <w:p w14:paraId="051E3D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2D000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67CFC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14:paraId="129B1C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A4030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15E6C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43776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49523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E4A62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თავისებურებები</w:t>
      </w:r>
    </w:p>
    <w:p w14:paraId="5DC6342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CA9E4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2787F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№2390)</w:t>
      </w:r>
    </w:p>
    <w:p w14:paraId="2E9753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7AFB4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074A6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14:paraId="65BF443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75A9AFA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C55FA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73F47C5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52DF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48F64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51DB4D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გადაცემა</w:t>
      </w:r>
    </w:p>
    <w:p w14:paraId="7FAFD09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აბავშვო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E2BA1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0A519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E8AE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81EBC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3E1AD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14:paraId="129867C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D1DD3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2048F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გირაო</w:t>
      </w:r>
    </w:p>
    <w:p w14:paraId="1A9D132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F4F26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03F91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პატიმრობა</w:t>
      </w:r>
    </w:p>
    <w:p w14:paraId="0978A10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3C58A8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60AE8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14DF3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C511C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4811B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DBFD6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946E0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№5915)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4D925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6AF46D0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3E0843F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14:paraId="5E2550F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</w:t>
      </w:r>
    </w:p>
    <w:p w14:paraId="58A12BC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3A19C67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14:paraId="09DF942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</w:t>
      </w:r>
    </w:p>
    <w:p w14:paraId="61437C9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50FF10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</w:p>
    <w:p w14:paraId="7F9E14D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91AB8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56F5CB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C45F67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30CD60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7A7C4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FE14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6047E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B3E04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(1.06.2017. N949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CAF0E4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C4A7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55A3A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სასჯელები</w:t>
      </w:r>
    </w:p>
    <w:p w14:paraId="49751E9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D2301D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0A421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95390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A8E6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F4CCD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ჯარიმა</w:t>
      </w:r>
    </w:p>
    <w:p w14:paraId="0364523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B3D61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28E15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5A585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ნაპატიმრობა</w:t>
      </w:r>
    </w:p>
    <w:p w14:paraId="33FB09B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B0C01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C53F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1EAD4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EA92F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144E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411260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ჩამორთმევა</w:t>
      </w:r>
    </w:p>
    <w:p w14:paraId="20EDB02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8B32B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26587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შრომა</w:t>
      </w:r>
    </w:p>
    <w:p w14:paraId="761BFAC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71B8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C1117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C72CA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093E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C14F0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020D2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(1.06.2017. N949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6DBF2E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6665E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აღკვეთა</w:t>
      </w:r>
    </w:p>
    <w:p w14:paraId="255FD3F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527E8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CD8AF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58F1D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434D6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FC4E8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</w:t>
      </w:r>
    </w:p>
    <w:p w14:paraId="785CF45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16BE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91F34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</w:p>
    <w:p w14:paraId="7A2F413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</w:p>
    <w:p w14:paraId="01E695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60075D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საწყისები</w:t>
      </w:r>
    </w:p>
    <w:p w14:paraId="5AB62FE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5947A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1E441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279E5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7CF35EF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F8F8D1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</w:p>
    <w:p w14:paraId="61237C8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შემამსუბუქებელ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6DE99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A8154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</w:t>
      </w:r>
    </w:p>
    <w:p w14:paraId="6346596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</w:t>
      </w:r>
    </w:p>
    <w:p w14:paraId="1CE0BF3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514E2B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</w:t>
      </w:r>
    </w:p>
    <w:p w14:paraId="3D4B889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C3BC2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171AD0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6C58D5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98B0D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C5945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D935E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F4FC3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B7D81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DF226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არასაპატიმროსასჯელშეფარდებული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38E8F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94E5A7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</w:p>
    <w:p w14:paraId="0DF1886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0AF45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4BAEE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14:paraId="0B81A7D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ზრუნვა</w:t>
      </w:r>
    </w:p>
    <w:p w14:paraId="0810A7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01F186D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</w:t>
      </w:r>
    </w:p>
    <w:p w14:paraId="29CE705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ტიმრობისა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</w:p>
    <w:p w14:paraId="6FB9C1E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14:paraId="4451BB0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0E7FCC7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მოთავსება</w:t>
      </w:r>
    </w:p>
    <w:p w14:paraId="57D2AB9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0CD36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პედიატრი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F18298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FE28F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75538E" w14:textId="77777777" w:rsidR="00000000" w:rsidRDefault="007E3235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29135CA8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6D66C59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0791EF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766479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F97050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569EBA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143477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2D8C79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72F698" w14:textId="77777777" w:rsidR="00000000" w:rsidRDefault="007E3235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6AE9C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F9758D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C3869B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მოთავსება</w:t>
      </w:r>
    </w:p>
    <w:p w14:paraId="5B3BF54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63EA62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78E0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მდედრობითი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47F4D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88E47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B1E64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DBEFF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მდედრობითი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92673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8FA76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მკურნალობა</w:t>
      </w:r>
    </w:p>
    <w:p w14:paraId="59166AF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118CC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53418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04D21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14:paraId="0CFBDF1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A989E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1C775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1B8B0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B0F1B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ორგანიზება</w:t>
      </w:r>
    </w:p>
    <w:p w14:paraId="7934F9F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065D9A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5B0D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226FD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29B97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5BCD7B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AC0D8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90A90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შემეცნებასა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B20E7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4E2EF8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0B321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შესაძლებლობა</w:t>
      </w:r>
    </w:p>
    <w:p w14:paraId="558E14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B5FC9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A7471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N949)</w:t>
      </w:r>
    </w:p>
    <w:p w14:paraId="025F970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318E3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29569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EC508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რეკრეაცია</w:t>
      </w:r>
    </w:p>
    <w:p w14:paraId="30D9105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სეირნობის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54011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BBA1E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3E279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ოჯახთან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სამყაროსთან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ურთიერთობა</w:t>
      </w:r>
    </w:p>
    <w:p w14:paraId="73822A3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9B6A8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53C84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379EA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ულიმიტო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CDD8A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FDB87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9B7F3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რადიომიმღებით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6CE2E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7448D9E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N949)</w:t>
      </w:r>
    </w:p>
    <w:p w14:paraId="29DB8E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 1322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6F7288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 1322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2D9D2C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6978D89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19013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4FE92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გასვლა</w:t>
      </w:r>
    </w:p>
    <w:p w14:paraId="02B05F0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3A4B9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7199C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241B5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39A21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0CED4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F7A63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</w:p>
    <w:p w14:paraId="22B07BA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678380C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AF0B32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15BCF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FFAC8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8B35A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96036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გადაყვანა</w:t>
      </w:r>
    </w:p>
    <w:p w14:paraId="0F0CBDE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DD8DE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9981A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180EC5A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C121B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3703A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93206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4E5B3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ფორმები</w:t>
      </w:r>
    </w:p>
    <w:p w14:paraId="7A0D4FD9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(1.06.2017. N949)</w:t>
      </w:r>
    </w:p>
    <w:p w14:paraId="6BBD2AFF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275985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A217EA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7C2242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3B04F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391F3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6E5086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140796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73D658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F2A113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აუდიოვიდეოსაშუალებებით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1A04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23467E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2F83E1D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7AC5EC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სახეები</w:t>
      </w:r>
    </w:p>
    <w:p w14:paraId="0E07EC05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(1.06.2017. N949)</w:t>
      </w:r>
    </w:p>
    <w:p w14:paraId="60F623E7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CC3593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302E60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მედიკამენტებისა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70213F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B837D6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4317A9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EF7F3D" w14:textId="77777777" w:rsidR="00000000" w:rsidRDefault="007E3235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F146F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დასაკავშირებლად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 1322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C3D2D4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სამარტოო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(1.06.2017. N949)</w:t>
      </w:r>
    </w:p>
    <w:p w14:paraId="21FDEC2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5A8B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9A68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79BB24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სამართალწარმოება</w:t>
      </w:r>
    </w:p>
    <w:p w14:paraId="3B14555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1BDA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2FAC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7B324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45B2E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</w:p>
    <w:p w14:paraId="11ED163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N949)</w:t>
      </w:r>
    </w:p>
    <w:p w14:paraId="4F7A351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უცოდინარ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52950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2C352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005D4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გათავისუფლება</w:t>
      </w:r>
    </w:p>
    <w:p w14:paraId="41066E0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B75C6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60CA2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38729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8FFF3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3DBE75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C08F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4F262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7786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70B32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049584F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7719A44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N949)</w:t>
      </w:r>
    </w:p>
    <w:p w14:paraId="2DC047B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8CA83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31E83FF" w14:textId="77777777" w:rsidR="00000000" w:rsidRDefault="007E3235">
      <w:pPr>
        <w:pStyle w:val="NormalWeb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</w:t>
      </w:r>
      <w:r>
        <w:rPr>
          <w:rFonts w:ascii="Sylfaen" w:eastAsia="Times New Roman" w:hAnsi="Sylfaen" w:cs="Sylfaen"/>
          <w:lang w:val="ka-GE" w:eastAsia="ka-GE"/>
        </w:rPr>
        <w:t>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: (1.06.2017. N949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4BAC00E" w14:textId="77777777" w:rsidR="00000000" w:rsidRDefault="007E3235">
      <w:pPr>
        <w:pStyle w:val="NormalWeb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B669A93" w14:textId="77777777" w:rsidR="00000000" w:rsidRDefault="007E3235">
      <w:pPr>
        <w:pStyle w:val="NormalWeb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44C9C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FE937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6D105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318524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718B5D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</w:t>
      </w:r>
    </w:p>
    <w:p w14:paraId="6A041F3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2D8CD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D80FF7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</w:t>
      </w:r>
    </w:p>
    <w:p w14:paraId="38D5D05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რეაბილიტაცია</w:t>
      </w:r>
    </w:p>
    <w:p w14:paraId="7DA5D44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CE40C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მზადება</w:t>
      </w:r>
    </w:p>
    <w:p w14:paraId="4C97CBC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670DDE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მოახლოებულ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2FD5CC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DE10B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3534EB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3C0ACA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76C50B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7212C8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A47700E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A2840F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B0E50E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500700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297EB0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მოახლოებულ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6EE1129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1528F7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4D141C0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AD461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0AE5EC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14:paraId="1C76868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13D68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1947E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E7C9A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130AF24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3BBC1E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</w:p>
    <w:p w14:paraId="2509E8B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31D116" w14:textId="77777777" w:rsidR="00000000" w:rsidRDefault="007E3235">
      <w:pPr>
        <w:tabs>
          <w:tab w:val="left" w:pos="10915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2EDE3A" w14:textId="77777777" w:rsidR="00000000" w:rsidRDefault="007E3235">
      <w:pPr>
        <w:tabs>
          <w:tab w:val="center" w:pos="894"/>
          <w:tab w:val="center" w:pos="2053"/>
          <w:tab w:val="center" w:pos="3422"/>
          <w:tab w:val="center" w:pos="4963"/>
          <w:tab w:val="left" w:pos="10915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1061D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რეინტეგრაციისათვის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68637D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№5396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61A137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6AAC6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14:paraId="5465C1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5ECD128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C4DEF0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</w:t>
      </w:r>
    </w:p>
    <w:p w14:paraId="54D7119E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59CBB7D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758539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უკუძალა</w:t>
      </w:r>
    </w:p>
    <w:p w14:paraId="128CF48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უმჯობესდება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8D7299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უმჯობესდება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72411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3792E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A0A89D2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56189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FA2C2D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7D9396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93C82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72077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</w:t>
      </w:r>
    </w:p>
    <w:p w14:paraId="43941EE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2472DEE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5DF4E30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</w:p>
    <w:p w14:paraId="42C77FB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7ABDF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D6483A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9DCC6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B6BA5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(1.06.2017. N949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117ADA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46D471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14:paraId="6F4D276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EC9A6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EC13B1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BC6903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15475F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515FD297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1EC4D8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>3708-II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0B727215" w14:textId="77777777" w:rsidR="00000000" w:rsidRDefault="007E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3235"/>
    <w:rsid w:val="007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0C37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17454</Words>
  <Characters>99491</Characters>
  <Application>Microsoft Office Word</Application>
  <DocSecurity>0</DocSecurity>
  <Lines>829</Lines>
  <Paragraphs>233</Paragraphs>
  <ScaleCrop>false</ScaleCrop>
  <Company/>
  <LinksUpToDate>false</LinksUpToDate>
  <CharactersWithSpaces>116712</CharactersWithSpaces>
  <SharedDoc>false</SharedDoc>
  <HyperlinkBase>C:\_1\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