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ავტონომიურ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რესპუბლიკაში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პირდაპირი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მმართველობის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</w:t>
      </w:r>
      <w:r>
        <w:rPr>
          <w:rFonts w:ascii="Sylfaen" w:eastAsia="Times New Roman" w:hAnsi="Sylfaen" w:cs="Sylfaen"/>
          <w:lang w:val="en-US"/>
        </w:rPr>
        <w:t>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ფორმასა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N3620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15C55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პირდაპირი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</w:t>
      </w:r>
      <w:r>
        <w:rPr>
          <w:rFonts w:ascii="Sylfaen" w:eastAsia="Times New Roman" w:hAnsi="Sylfaen" w:cs="Sylfaen"/>
          <w:b/>
          <w:bCs/>
          <w:lang w:eastAsia="x-none"/>
        </w:rPr>
        <w:t>ველობის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</w:t>
      </w:r>
      <w:r>
        <w:rPr>
          <w:rFonts w:ascii="Sylfaen" w:eastAsia="Times New Roman" w:hAnsi="Sylfaen" w:cs="Sylfaen"/>
          <w:lang w:eastAsia="x-none"/>
        </w:rPr>
        <w:t>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პირდაპირი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ცნება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N3620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ავტონომიურ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პირდაპირი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eastAsia="x-none"/>
        </w:rPr>
        <w:t>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პირდაპირი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N3620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</w:t>
      </w:r>
      <w:r>
        <w:rPr>
          <w:rFonts w:ascii="Sylfaen" w:eastAsia="Times New Roman" w:hAnsi="Sylfaen" w:cs="Sylfaen"/>
          <w:lang w:val="en-US"/>
        </w:rPr>
        <w:t>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6"/>
          <w:szCs w:val="36"/>
          <w:lang w:val="en-US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ავტონომიური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რესპუბლიკის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უმაღლესი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შეჩერების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ავტონომიური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რესპუბლიკის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საბჭოს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დათხოვნის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საფუძვლები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31.10.2018 N3620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(05.02.2014. N1977)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hAnsi="Sylfaen" w:cs="Sylfaen"/>
          <w:b/>
          <w:bCs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(05.02.2014. N1977)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პირდაპირი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მმართველობა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ავტონომიურ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რესპუბლიკაში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(05.02.2014. N1977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lastRenderedPageBreak/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1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73-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</w:t>
      </w:r>
      <w:r>
        <w:rPr>
          <w:rFonts w:ascii="Sylfaen" w:eastAsia="Times New Roman" w:hAnsi="Sylfaen" w:cs="Sylfaen"/>
          <w:lang w:eastAsia="x-none"/>
        </w:rPr>
        <w:t>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A1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პირდაპირი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</w:t>
      </w:r>
      <w:r>
        <w:rPr>
          <w:rFonts w:eastAsia="Times New Roman"/>
          <w:b/>
          <w:bCs/>
          <w:lang w:val="en-US"/>
        </w:rPr>
        <w:t>​​​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პირდაპირი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მმართველობა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ავტონომიურ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რესპუბლიკაში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N3620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</w:t>
      </w:r>
      <w:r>
        <w:rPr>
          <w:rFonts w:ascii="Sylfaen" w:eastAsia="Times New Roman" w:hAnsi="Sylfaen" w:cs="Sylfaen"/>
          <w:lang w:val="en-US"/>
        </w:rPr>
        <w:t>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15C5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</w:t>
      </w:r>
      <w:r>
        <w:rPr>
          <w:rFonts w:ascii="Sylfaen" w:eastAsia="Times New Roman" w:hAnsi="Sylfaen" w:cs="Sylfaen"/>
          <w:lang w:val="en-US"/>
        </w:rPr>
        <w:t>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>)</w:t>
      </w:r>
    </w:p>
    <w:p w:rsidR="00000000" w:rsidRDefault="00A15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ღიდან</w:t>
      </w:r>
      <w:r>
        <w:rPr>
          <w:rFonts w:ascii="Sylfaen" w:hAnsi="Sylfaen" w:cs="Sylfaen"/>
          <w:b/>
          <w:bCs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A15C55">
      <w:pPr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(05.02.2014. N1977)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hAnsi="Sylfaen" w:cs="Sylfaen"/>
          <w:b/>
          <w:bCs/>
          <w:lang w:eastAsia="x-none"/>
        </w:rPr>
        <w:t>)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</w:t>
      </w:r>
      <w:r>
        <w:rPr>
          <w:rFonts w:ascii="Sylfaen" w:eastAsia="Times New Roman" w:hAnsi="Sylfaen" w:cs="Sylfaen"/>
          <w:lang w:eastAsia="x-none"/>
        </w:rPr>
        <w:t>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                      </w:t>
      </w:r>
      <w:r>
        <w:rPr>
          <w:rFonts w:ascii="Sylfaen" w:eastAsia="Times New Roman" w:hAnsi="Sylfaen" w:cs="Sylfaen"/>
          <w:lang w:eastAsia="x-none"/>
        </w:rPr>
        <w:tab/>
        <w:t xml:space="preserve">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eastAsia="x-none"/>
        </w:rPr>
      </w:pP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A15C5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ივნისი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A15C55">
      <w:pPr>
        <w:pStyle w:val="Normal0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 2069 - 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A15C55">
      <w:pPr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5C55"/>
    <w:rsid w:val="00A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