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righ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ნეიტრალიტეტზე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სამოხელეო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ბიზნესომბუდსმენის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ენეჯერული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№6991)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აპარატ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თანამშრომლებზე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30.12.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№3387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ბიზნესომბუდსმენსა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№1573)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უ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)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ამოღებულია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№3311)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)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საქართველოს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შინაგან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საქმეთა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სამინისტროს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მოსამსახურეებზე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№1710)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</w:t>
      </w:r>
      <w:r>
        <w:rPr>
          <w:rStyle w:val="Emphasis"/>
          <w:rFonts w:ascii="Sylfaen" w:hAnsi="Sylfaen" w:cs="Sylfaen"/>
          <w:i w:val="0"/>
          <w:iCs w:val="0"/>
          <w:position w:val="12"/>
          <w:sz w:val="24"/>
          <w:szCs w:val="24"/>
          <w:lang w:val="ka-GE" w:eastAsia="ka-GE"/>
        </w:rPr>
        <w:t>1</w:t>
      </w:r>
      <w:r>
        <w:rPr>
          <w:rStyle w:val="Emphasis"/>
          <w:rFonts w:ascii="Sylfaen" w:hAnsi="Sylfaen" w:cs="Sylfaen"/>
          <w:i w:val="0"/>
          <w:iCs w:val="0"/>
          <w:sz w:val="24"/>
          <w:szCs w:val="24"/>
          <w:lang w:val="ka-GE" w:eastAsia="ka-GE"/>
        </w:rPr>
        <w:t xml:space="preserve">) 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ამოღებულია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№4546)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lang w:val="ka-GE" w:eastAsia="ka-GE"/>
        </w:rPr>
        <w:t xml:space="preserve">№5398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lang w:val="ka-GE" w:eastAsia="ka-GE"/>
        </w:rPr>
        <w:t xml:space="preserve">№5398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N3819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№3387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№1710)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№482)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№4402)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ერთგულება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სამოხელეო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ეკონომიურობა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ეფექტიანობა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დამსახურებაზე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მიუკერძოებლობა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ანგარიშვალდებულება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ნეიტრალიტეტი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აგიტაციასა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ღიაობა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ხელშესაწყობად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ცენტრალიზებული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საბჭო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№6991)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ბიურო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განაზოგადებს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პროფესიონალიზმისა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განაზოგადებს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სამოხელეო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უფროსი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ერთეული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კლასიფიცირება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რანგირება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კლასი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გადალახვას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თემატიკა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გამოცხადება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№5717)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თავმჯდომარ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შემადგენლობა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ეტაპები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ფიცი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სამოხელეო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ჩემთვის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უდიდესი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აღვასრულებ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მივლინება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ბილობა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ოთხდონიანი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სალოდნელზე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განავითაროს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№782)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შესვლამდე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შექმნა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333333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ამკრძალავი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color w:val="333333"/>
          <w:sz w:val="20"/>
          <w:szCs w:val="20"/>
          <w:lang w:val="en-US"/>
        </w:rPr>
        <w:t xml:space="preserve"> (19.02.2019. </w:t>
      </w:r>
      <w:r>
        <w:rPr>
          <w:rFonts w:ascii="Sylfaen" w:eastAsia="Times New Roman" w:hAnsi="Sylfaen" w:cs="Sylfaen"/>
          <w:color w:val="333333"/>
          <w:sz w:val="20"/>
          <w:szCs w:val="20"/>
          <w:lang w:val="en-US"/>
        </w:rPr>
        <w:t>№4280)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№1826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დანამატი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დანამატი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წახალისება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№7189)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ზეგანაკვეთ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მუშაობა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ახალნამშობიარები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მეძუძური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№7189)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მეძუძურ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შვებულება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ტყუპის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გადაანაწილოს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უსარგებლია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მდგომარეობი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კავშირში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დაღუპვ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ნველყოფა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შემლახველი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გასაბათილებლად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ღიაობის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ეკონომიურად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რაციონალურად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№7189)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-60–62-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             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9)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(29.06.2017. N1157)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-60–62-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გადაცდომები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სკრედიტაციისაკენ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დაწყება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შემლახველი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გაბათილება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ერთეული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შეაგროვოს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გააანალიზოს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ზომები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შეფარდება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აეცილებინა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შეემცირებინა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ჩამოშორება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ჩაუდენია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გამოიჩინა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სებულებასთან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შერწყმა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რეზერვი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№4142)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წარგზ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№4142)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(29.06.2017. N1157)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გამომრიცხველი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შემცირებასთან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შემთხვევაში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შემთხვევაში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XIV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სტრუქტურისა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დამტკიცება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მოსამსახურეებისთვის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გვიანდელი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სტაჟი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გაუთანაბრდეს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8.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9.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თემატიკის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ასახელებებისა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ეთხოვოთ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126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№1157)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№1139)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სპეცია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ვადად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მარტი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position w:val="6"/>
          <w:sz w:val="20"/>
          <w:szCs w:val="20"/>
          <w:lang w:val="ka-GE" w:eastAsia="ka-GE"/>
        </w:rPr>
        <w:t>№1710)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№1022-I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C59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 w:after="2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№126)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№45, 21.11.1997,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55)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№126)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მარგველაშვილი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№4346-I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CC5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590A"/>
    <w:rsid w:val="00C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CommentTextChar">
    <w:name w:val="Comment Text Char"/>
    <w:basedOn w:val="DefaultParagraphFont"/>
    <w:uiPriority w:val="99"/>
  </w:style>
  <w:style w:type="character" w:customStyle="1" w:styleId="CommentSubjectChar">
    <w:name w:val="Comment Subject Char"/>
    <w:basedOn w:val="CommentTextChar"/>
    <w:uiPriority w:val="99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  <w:sz w:val="20"/>
      <w:szCs w:val="20"/>
    </w:rPr>
  </w:style>
  <w:style w:type="character" w:customStyle="1" w:styleId="DocumentMapChar">
    <w:name w:val="Document Map Char"/>
    <w:basedOn w:val="DefaultParagraphFont"/>
    <w:uiPriority w:val="9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1"/>
    <w:uiPriority w:val="99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rPr>
      <w:rFonts w:ascii="Segoe UI" w:hAnsi="Segoe UI" w:cs="Segoe UI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xml"/>
    <w:basedOn w:val="Normal"/>
    <w:uiPriority w:val="99"/>
    <w:pPr>
      <w:spacing w:line="240" w:lineRule="auto"/>
    </w:pPr>
    <w:rPr>
      <w:rFonts w:ascii="Times" w:hAnsi="Times" w:cs="Times"/>
      <w:sz w:val="20"/>
      <w:szCs w:val="20"/>
    </w:rPr>
  </w:style>
  <w:style w:type="paragraph" w:customStyle="1" w:styleId="abzacixml">
    <w:name w:val="abzacixml"/>
    <w:basedOn w:val="Normal"/>
    <w:uiPriority w:val="99"/>
    <w:pPr>
      <w:spacing w:line="240" w:lineRule="auto"/>
    </w:pPr>
    <w:rPr>
      <w:rFonts w:ascii="Times" w:hAnsi="Times" w:cs="Times"/>
      <w:sz w:val="20"/>
      <w:szCs w:val="20"/>
    </w:rPr>
  </w:style>
  <w:style w:type="character" w:styleId="BookTitle">
    <w:name w:val="Book Title"/>
    <w:basedOn w:val="DefaultParagraphFont"/>
    <w:uiPriority w:val="99"/>
    <w:qFormat/>
    <w:rPr>
      <w:b/>
      <w:bCs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ighlightactive">
    <w:name w:val="highlight active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  <w:spacing w:after="20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18922</Words>
  <Characters>107858</Characters>
  <Application>Microsoft Office Word</Application>
  <DocSecurity>0</DocSecurity>
  <Lines>898</Lines>
  <Paragraphs>253</Paragraphs>
  <ScaleCrop>false</ScaleCrop>
  <Company/>
  <LinksUpToDate>false</LinksUpToDate>
  <CharactersWithSpaces>126527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