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–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ქუთაისის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უნივერსიტეტის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შექმნის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ფუნდამენტური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ექსპერიმენტული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მრავალპროფილური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მრავალმეთოდური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მედიცინასა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თერაპიის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ფუნდამენტური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მკვლევართა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ექსპერიმენტული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დირ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ექტორი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წამყვან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ბჭოსა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სიმპოზიუმებსა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(Peer Review)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მეცნიერო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ემერიტუს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ითანხმებს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დასანიშნად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თავისებურებანი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პოსტდოქტ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ორანტები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(Peer Review)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შემოწირულებები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კონტროლი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შეწყვეტისა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მოღებუ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(1.11.2019 N5274)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F3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N4558-I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F341DB">
      <w:pPr>
        <w:pStyle w:val="Normal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341DB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1860</Words>
  <Characters>10606</Characters>
  <Application>Microsoft Office Word</Application>
  <DocSecurity>0</DocSecurity>
  <Lines>88</Lines>
  <Paragraphs>24</Paragraphs>
  <ScaleCrop>false</ScaleCrop>
  <Company/>
  <LinksUpToDate>false</LinksUpToDate>
  <CharactersWithSpaces>12442</CharactersWithSpaces>
  <SharedDoc>false</SharedDoc>
  <HyperlinkBase>C:\Users\Codex\AppData\Local\Temp\637085540339823976\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