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A5B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14:paraId="7847CF9E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75F4C97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4AE10DBA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უფლებათა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სისტემური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სპორადული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წესისა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სრულყოფის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 xml:space="preserve">) </w:t>
      </w:r>
    </w:p>
    <w:p w14:paraId="36D8876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2BCED39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</w:t>
      </w:r>
    </w:p>
    <w:p w14:paraId="3898B7B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55CC386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169D84BE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33FA2A0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F2AAFC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სისტემურ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სპორადულ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3A5197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FCFA7DA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C672F0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D853CA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B73885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A43212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C5B355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დაუზუსტებელი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softHyphen/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219836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7D3B10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3A6D5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1F81BE1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4F6601C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75FC49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განსაზღ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პროაქტიულ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50062B7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7BDBD0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508D49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ED056A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დანგრეული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99A496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საძოვრის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სათიბის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სახნავის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საკარმიდამო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FE8F0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C178C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არმიდამო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საკარმიდამო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მოსაწყობად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დანგრეული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იძებნება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საკარმიდამო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მოსაწყობად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441D2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დაუზუსტებელი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სისრულისა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პრეზუმფცია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1E277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კონფიგურაციის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DE08EE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უსტებელი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გეოდეზიურ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კონფიგურაციის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096B7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F6CF91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29BE188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1280EE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 54-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№7021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</w:t>
      </w:r>
    </w:p>
    <w:p w14:paraId="48CF738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98EE45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დახასიათება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კაბინეტის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ყრილობაზე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მიმაგრების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მეპატრონეთა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9D9EA1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კონფიგურაციისა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გრაფიკულად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ტექსტობრივა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7F5649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C1FF91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1A3250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მიჯნა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 </w:t>
      </w:r>
    </w:p>
    <w:p w14:paraId="5AD0FA5A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E2122FE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მოლაპარაკებას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8482B0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A6E98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559DF5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3DA241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2A82AA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879126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7C3A2B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745B07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78F1C8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846E88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3522E7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2CDA5B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5BE59A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8429A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3EA3F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გაუცემლობა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12417EA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0B62AC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სათიბის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სახნავის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ნარგავებით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საბოსტნე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საკარმიდამო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794B63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დანგრეული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დანგრეული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F1E523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943D3D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7A2338E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44B90B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1FAEA4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1FAC26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C00684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6ADE9A7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8E96E6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საკარმიდამო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მოსაწყობად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E3E45B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605F3C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D65A86E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FB51F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784279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23EF311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A3BB8A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02751A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14:paraId="0F737677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sz w:val="24"/>
          <w:szCs w:val="24"/>
          <w:lang w:eastAsia="x-none"/>
        </w:rPr>
      </w:pPr>
    </w:p>
    <w:p w14:paraId="5B94791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9F53FB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09B293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პროაქტიულად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პროაქტიულად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8866D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პროაქტიულად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DD18E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100A1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560D1F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E643CB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678EFC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(11.12.20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8925AFE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დაუზუსტებელი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B9654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softHyphen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6EB4D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შეამციროს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სანივთო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სანივთო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1DC0D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A7B5B8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(11.12.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9744EE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5E0482A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1464F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71D84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უცნობია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D8219F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32A14B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693BC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27C4F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BD33F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საარქივო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იძებნება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0,75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5806A7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8062B8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57F55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№7021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B6D371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7E8728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მოსაზღვრე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გვერდების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B7EB62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ენტურობისა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1FD65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B6E49A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10B7BBA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096916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B54AF3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D30E4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№327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DD6805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069AA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D685EC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808A4C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დანგრეული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დანგრეული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0EA7224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მოსაზღვრე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CDA63B8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305B98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36903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მოუსმინოს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6347581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0B101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მიუღწევლობის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A763DB8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მიჯნაზე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მიუღწევლობის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თანასაკუთრებად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მიჯნის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საზიარო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52A881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მიჯნა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B4E3A8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მიჯნა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58E681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33B2B5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F9A5C7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59BDF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D8FA7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70D128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მიჯნით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დაუზუსტებელ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მიჯნით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საკარმიდამო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B8D7FF7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საკარმიდამო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უმენტაციისა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მიჯნით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დაუზუსტებელ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საკარმიდამო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მიჯნით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73115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მიჯნით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საკარმიდამო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მოსაწყობად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F6D95B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16710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9FA7BF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971D66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F3BA91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D3294E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კონფიგურაცია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5E46DA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50659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256CA6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ურთიერთშეუსაბამო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69F4B6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1D5A0E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914B38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sz w:val="24"/>
          <w:szCs w:val="24"/>
          <w:lang w:eastAsia="x-none"/>
        </w:rPr>
      </w:pPr>
    </w:p>
    <w:p w14:paraId="3A38708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sz w:val="24"/>
          <w:szCs w:val="24"/>
          <w:lang w:eastAsia="x-none"/>
        </w:rPr>
      </w:pPr>
    </w:p>
    <w:p w14:paraId="2242ACA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№55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2E5B3C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</w:p>
    <w:p w14:paraId="712E5C2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sz w:val="24"/>
          <w:szCs w:val="24"/>
          <w:lang w:eastAsia="x-none"/>
        </w:rPr>
      </w:pPr>
    </w:p>
    <w:p w14:paraId="1A91A75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0CCD15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87438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358A5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D09540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№7021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9EA106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კონფიგურაციას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84E4A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დაუზუსტებელი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C460B8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63520D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F39E06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629267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976218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რუკაზე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49B030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9D08C0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099740A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შაოებისა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(www.napr.gov.ge),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0568A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რუკაზე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8C409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აკადასტრო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B96684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42B1EA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5446CC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D0DBBE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16.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2EF3E5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</w:p>
    <w:p w14:paraId="6F36DE1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6F27CA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</w:t>
      </w:r>
    </w:p>
    <w:p w14:paraId="3FA424E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728616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sz w:val="24"/>
          <w:szCs w:val="24"/>
          <w:lang w:eastAsia="x-none"/>
        </w:rPr>
      </w:pPr>
    </w:p>
    <w:p w14:paraId="032E4C3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22ECDF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A083D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0EE399A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E249DD8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კაბინეტის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503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DC8133A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F9674E7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კოოპერაციული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A0FC42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ყრილობაზე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E48D97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იძებნება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სააგარაკო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დაარეგისტრიროს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18C51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დაარეგისტრიროს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14D675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82044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საწევრო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წიგნაკზე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EA7D1E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მევენახეობის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მერძევეობის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ბრიგადირის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CECEA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sz w:val="24"/>
          <w:szCs w:val="24"/>
          <w:lang w:eastAsia="x-none"/>
        </w:rPr>
      </w:pPr>
    </w:p>
    <w:p w14:paraId="69D9B6B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</w:t>
      </w:r>
    </w:p>
    <w:p w14:paraId="6042E46A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141AC3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rPr>
          <w:sz w:val="24"/>
          <w:szCs w:val="24"/>
          <w:lang w:eastAsia="x-none"/>
        </w:rPr>
      </w:pPr>
    </w:p>
    <w:p w14:paraId="4F78C7E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18.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799771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7A2C3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მიუღწევლობის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FFB7D7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F3C75D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82996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6447AB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C244D9E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C27467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შეუთანხმებლობის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F84A4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45EB0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656E4C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E929F3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9F22E5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AE865B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20.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094155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02C8D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1DF1EE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შეხვედრებს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B201A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F5325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შეუთანხმებლობის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98031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BACBD8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E2ACC1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AE3CDFE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</w:t>
      </w:r>
    </w:p>
    <w:p w14:paraId="506261F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956032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23C39349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დაინტერესებული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ჩართვის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20F6202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გაგზავნით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D3B45D7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ვეყნდება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(www.napr.gov.ge),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 </w:t>
      </w:r>
    </w:p>
    <w:p w14:paraId="05F3174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9D003C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1C2D1FF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0A2F1AB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მიღებისა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გასაჩივრების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4C1FF6B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014841A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C0AF9C8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VIII</w:t>
      </w:r>
    </w:p>
    <w:p w14:paraId="5C1D594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14:paraId="6CF5F19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324346E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5A03627B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№327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მოწესრიგების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№231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დაზუსტებას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EE5F7BA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დააზუსტოს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გამოაცხადოს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მოწმობების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მაისის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№327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ბრძანებულებისა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მოწესრიგების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№231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მცდარი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ურთიერთშეუსაბამო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75D7BC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3. 2025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№1168)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0861652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B72019A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4. 2022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სამკვიდრო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B43D8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აგეგმვითი</w:t>
      </w:r>
      <w:r>
        <w:rPr>
          <w:rFonts w:ascii="Sylfae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აზომვითი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აგეგმვით</w:t>
      </w:r>
      <w:r>
        <w:rPr>
          <w:rFonts w:ascii="Sylfae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აზომვით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აგეგმვით</w:t>
      </w:r>
      <w:r>
        <w:rPr>
          <w:rFonts w:ascii="Sylfae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აზომვით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0A9099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6.  2020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202</w:t>
      </w: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№310)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FE1731E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de-DE" w:eastAsia="de-D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0A258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14:paraId="5B4DBD5F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№1168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066DAE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14:paraId="14E981C7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მისაღები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გამოსაცემი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5D24744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საპილოტო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A8E92FA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AA954F7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სპორადული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გადამოწმებისა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3D2D60E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0EB10E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აგეგმვითი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აზომვითი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4F3397E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მოხელეები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(26.07.2017. N1253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14:paraId="21F161A1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443B2292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14:paraId="2BAA270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–23-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9A76E1D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–23-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7382813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70663D1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D4178B0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73BFC4BC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</w:p>
    <w:p w14:paraId="1EEB6778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7ED3425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71F64934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06340F6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№</w:t>
      </w:r>
      <w:r>
        <w:rPr>
          <w:rFonts w:ascii="Sylfaen" w:hAnsi="Sylfaen" w:cs="Sylfaen"/>
          <w:sz w:val="24"/>
          <w:szCs w:val="24"/>
          <w:lang w:eastAsia="x-none"/>
        </w:rPr>
        <w:t>5153-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14:paraId="4ABFD497" w14:textId="77777777" w:rsidR="00000000" w:rsidRDefault="00071E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71E85"/>
    <w:rsid w:val="000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7AD00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imgebixml">
    <w:name w:val="mimgeb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Calibri" w:hAnsi="Calibri" w:cs="Calibri"/>
    </w:rPr>
  </w:style>
  <w:style w:type="paragraph" w:customStyle="1" w:styleId="abzacixml">
    <w:name w:val="abzac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saxexml">
    <w:name w:val="saxe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tarigixml">
    <w:name w:val="tarig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adgilixml">
    <w:name w:val="adgil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sataurixml">
    <w:name w:val="sataurixml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0">
    <w:name w:val="abzaci_xml"/>
    <w:basedOn w:val="PlainText"/>
    <w:uiPriority w:val="99"/>
    <w:pPr>
      <w:spacing w:line="276" w:lineRule="auto"/>
      <w:ind w:firstLine="72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Revision">
    <w:name w:val="Revision"/>
    <w:basedOn w:val="Normal0"/>
    <w:uiPriority w:val="99"/>
    <w:pPr>
      <w:widowControl/>
    </w:pPr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basedOn w:val="DefaultParagraphFont"/>
    <w:uiPriority w:val="99"/>
  </w:style>
  <w:style w:type="character" w:customStyle="1" w:styleId="NoSpacingChar">
    <w:name w:val="No Spacing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9569</Words>
  <Characters>54545</Characters>
  <Application>Microsoft Office Word</Application>
  <DocSecurity>0</DocSecurity>
  <Lines>454</Lines>
  <Paragraphs>127</Paragraphs>
  <ScaleCrop>false</ScaleCrop>
  <Company/>
  <LinksUpToDate>false</LinksUpToDate>
  <CharactersWithSpaces>63987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