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ამნისტიის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</w:rPr>
      </w:pP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ჰუმანიზმის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საშიშროების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</w:t>
      </w:r>
      <w:r>
        <w:rPr>
          <w:rFonts w:ascii="Sylfaen" w:hAnsi="Sylfaen" w:cs="Sylfaen"/>
          <w:sz w:val="24"/>
          <w:szCs w:val="24"/>
        </w:rPr>
        <w:t>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№41(48),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209)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hAnsi="Sylfaen" w:cs="Sylfaen"/>
          <w:sz w:val="24"/>
          <w:szCs w:val="24"/>
        </w:rPr>
      </w:pP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გათავისუფლდეს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</w:t>
      </w:r>
      <w:r>
        <w:rPr>
          <w:rFonts w:ascii="Sylfaen" w:hAnsi="Sylfaen" w:cs="Sylfaen"/>
          <w:sz w:val="24"/>
          <w:szCs w:val="24"/>
        </w:rPr>
        <w:t>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მსჯავრდებული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მამაკაცი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70 (</w:t>
      </w:r>
      <w:r>
        <w:rPr>
          <w:rFonts w:ascii="Sylfaen" w:hAnsi="Sylfaen" w:cs="Sylfaen"/>
          <w:sz w:val="24"/>
          <w:szCs w:val="24"/>
        </w:rPr>
        <w:t>სამოცდაათი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70 (</w:t>
      </w:r>
      <w:r>
        <w:rPr>
          <w:rFonts w:ascii="Sylfaen" w:hAnsi="Sylfaen" w:cs="Sylfaen"/>
          <w:sz w:val="24"/>
          <w:szCs w:val="24"/>
        </w:rPr>
        <w:t>სამოცდაათ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მსჯავრდებული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ქალი</w:t>
      </w:r>
      <w:r>
        <w:rPr>
          <w:rFonts w:ascii="Sylfaen" w:hAnsi="Sylfaen" w:cs="Sylfaen"/>
          <w:sz w:val="24"/>
          <w:szCs w:val="24"/>
        </w:rPr>
        <w:t xml:space="preserve"> – 65 (</w:t>
      </w:r>
      <w:r>
        <w:rPr>
          <w:rFonts w:ascii="Sylfaen" w:hAnsi="Sylfaen" w:cs="Sylfaen"/>
          <w:sz w:val="24"/>
          <w:szCs w:val="24"/>
        </w:rPr>
        <w:t>სამოცდახუთი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65 (</w:t>
      </w:r>
      <w:r>
        <w:rPr>
          <w:rFonts w:ascii="Sylfaen" w:hAnsi="Sylfaen" w:cs="Sylfaen"/>
          <w:sz w:val="24"/>
          <w:szCs w:val="24"/>
        </w:rPr>
        <w:t>სამო</w:t>
      </w:r>
      <w:r>
        <w:rPr>
          <w:rFonts w:ascii="Sylfaen" w:hAnsi="Sylfaen" w:cs="Sylfaen"/>
          <w:sz w:val="24"/>
          <w:szCs w:val="24"/>
        </w:rPr>
        <w:t>ცდახუთ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11</w:t>
      </w:r>
      <w:r>
        <w:rPr>
          <w:sz w:val="24"/>
          <w:szCs w:val="24"/>
        </w:rPr>
        <w:t>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–115</w:t>
      </w:r>
      <w:r>
        <w:rPr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118-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 xml:space="preserve">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</w:t>
      </w:r>
      <w:r>
        <w:rPr>
          <w:rFonts w:ascii="Sylfaen" w:hAnsi="Sylfaen" w:cs="Sylfaen"/>
          <w:sz w:val="24"/>
          <w:szCs w:val="24"/>
        </w:rPr>
        <w:t>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144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144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158-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174-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17</w:t>
      </w:r>
      <w:r>
        <w:rPr>
          <w:rFonts w:ascii="Sylfaen" w:hAnsi="Sylfaen" w:cs="Sylfaen"/>
          <w:sz w:val="24"/>
          <w:szCs w:val="24"/>
        </w:rPr>
        <w:t>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  178-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180-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181-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182-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194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236-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253-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255-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255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255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260-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261-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262-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264-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265-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268-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269-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270-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272-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284-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 285-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286-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317-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318-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320-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322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322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330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331-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339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344-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353-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364-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365-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378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378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381-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405-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გაუფრთხილებლობით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მოსპობა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118-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გამოყენებისას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იძებნება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</w:t>
      </w:r>
      <w:r>
        <w:rPr>
          <w:rFonts w:ascii="Sylfaen" w:hAnsi="Sylfaen" w:cs="Sylfaen"/>
          <w:sz w:val="24"/>
          <w:szCs w:val="24"/>
        </w:rPr>
        <w:t>ნქტით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სრულწლოვანი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ქმედუნარიანი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დედა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მეუღლე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შვილი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არცერთი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იძებნება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აღსრულდება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180-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182-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</w:t>
      </w:r>
      <w:r>
        <w:rPr>
          <w:rFonts w:ascii="Sylfaen" w:hAnsi="Sylfaen" w:cs="Sylfaen"/>
          <w:sz w:val="24"/>
          <w:szCs w:val="24"/>
        </w:rPr>
        <w:t>ამონაცვლე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sz w:val="24"/>
          <w:szCs w:val="24"/>
        </w:rPr>
        <w:t>.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იძებნება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</w:t>
      </w:r>
      <w:r>
        <w:rPr>
          <w:rFonts w:ascii="Sylfaen" w:hAnsi="Sylfaen" w:cs="Sylfaen"/>
          <w:sz w:val="24"/>
          <w:szCs w:val="24"/>
        </w:rPr>
        <w:t>არალებული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სრულწლოვანი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ქმედუნარიანი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დედა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მეუღლე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შვილი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იძებნება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აღსრულდება</w:t>
      </w:r>
      <w:r>
        <w:rPr>
          <w:rFonts w:ascii="Sylfaen" w:hAnsi="Sylfaen" w:cs="Sylfaen"/>
          <w:sz w:val="24"/>
          <w:szCs w:val="24"/>
        </w:rPr>
        <w:t xml:space="preserve">;  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რეორგანიზებულია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ანაცხადებს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სამართალმემკვიდრე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ლიკვიდირებულია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აღსრულდება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გათავისუფლდეს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</w:t>
      </w:r>
      <w:r>
        <w:rPr>
          <w:rFonts w:ascii="Sylfaen" w:hAnsi="Sylfaen" w:cs="Sylfaen"/>
          <w:sz w:val="24"/>
          <w:szCs w:val="24"/>
        </w:rPr>
        <w:t>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მსჯავრდებული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მამაკაცი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70 (</w:t>
      </w:r>
      <w:r>
        <w:rPr>
          <w:rFonts w:ascii="Sylfaen" w:hAnsi="Sylfaen" w:cs="Sylfaen"/>
          <w:sz w:val="24"/>
          <w:szCs w:val="24"/>
        </w:rPr>
        <w:t>სამოცდაათი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70 (</w:t>
      </w:r>
      <w:r>
        <w:rPr>
          <w:rFonts w:ascii="Sylfaen" w:hAnsi="Sylfaen" w:cs="Sylfaen"/>
          <w:sz w:val="24"/>
          <w:szCs w:val="24"/>
        </w:rPr>
        <w:t>სამოცდაათ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ბრალდებული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მსჯავრდებული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ქალი</w:t>
      </w:r>
      <w:r>
        <w:rPr>
          <w:rFonts w:ascii="Sylfaen" w:hAnsi="Sylfaen" w:cs="Sylfaen"/>
          <w:sz w:val="24"/>
          <w:szCs w:val="24"/>
        </w:rPr>
        <w:t xml:space="preserve"> – 65 (</w:t>
      </w:r>
      <w:r>
        <w:rPr>
          <w:rFonts w:ascii="Sylfaen" w:hAnsi="Sylfaen" w:cs="Sylfaen"/>
          <w:sz w:val="24"/>
          <w:szCs w:val="24"/>
        </w:rPr>
        <w:t>სამოცდახუთი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65 (</w:t>
      </w:r>
      <w:r>
        <w:rPr>
          <w:rFonts w:ascii="Sylfaen" w:hAnsi="Sylfaen" w:cs="Sylfaen"/>
          <w:sz w:val="24"/>
          <w:szCs w:val="24"/>
        </w:rPr>
        <w:t>სამ</w:t>
      </w:r>
      <w:r>
        <w:rPr>
          <w:rFonts w:ascii="Sylfaen" w:hAnsi="Sylfaen" w:cs="Sylfaen"/>
          <w:sz w:val="24"/>
          <w:szCs w:val="24"/>
        </w:rPr>
        <w:t>ოცდახუთ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-2–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200</w:t>
      </w:r>
      <w:r>
        <w:rPr>
          <w:rFonts w:ascii="Sylfaen" w:hAnsi="Sylfaen" w:cs="Sylfaen"/>
          <w:position w:val="12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200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200</w:t>
      </w:r>
      <w:r>
        <w:rPr>
          <w:rFonts w:ascii="Sylfaen" w:hAnsi="Sylfaen" w:cs="Sylfaen"/>
          <w:position w:val="12"/>
          <w:sz w:val="24"/>
          <w:szCs w:val="24"/>
        </w:rPr>
        <w:t>4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-2–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200</w:t>
      </w:r>
      <w:r>
        <w:rPr>
          <w:rFonts w:ascii="Sylfaen" w:hAnsi="Sylfaen" w:cs="Sylfaen"/>
          <w:position w:val="12"/>
          <w:sz w:val="24"/>
          <w:szCs w:val="24"/>
        </w:rPr>
        <w:t>5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200</w:t>
      </w:r>
      <w:r>
        <w:rPr>
          <w:rFonts w:ascii="Sylfaen" w:hAnsi="Sylfaen" w:cs="Sylfaen"/>
          <w:position w:val="12"/>
          <w:sz w:val="24"/>
          <w:szCs w:val="24"/>
        </w:rPr>
        <w:t>6</w:t>
      </w:r>
      <w:r>
        <w:rPr>
          <w:sz w:val="24"/>
          <w:szCs w:val="24"/>
        </w:rPr>
        <w:t> </w:t>
      </w:r>
      <w:r>
        <w:rPr>
          <w:rFonts w:ascii="Sylfaen" w:hAnsi="Sylfaen" w:cs="Sylfaen"/>
          <w:sz w:val="24"/>
          <w:szCs w:val="24"/>
        </w:rPr>
        <w:t>მუ</w:t>
      </w:r>
      <w:r>
        <w:rPr>
          <w:rFonts w:ascii="Sylfaen" w:hAnsi="Sylfaen" w:cs="Sylfaen"/>
          <w:sz w:val="24"/>
          <w:szCs w:val="24"/>
        </w:rPr>
        <w:t>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202-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203-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205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-2–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210-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214-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-2–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239-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sz w:val="24"/>
          <w:szCs w:val="24"/>
        </w:rPr>
        <w:t>, </w:t>
      </w:r>
      <w:r>
        <w:rPr>
          <w:rFonts w:ascii="Sylfaen" w:hAnsi="Sylfaen" w:cs="Sylfaen"/>
          <w:sz w:val="24"/>
          <w:szCs w:val="24"/>
        </w:rPr>
        <w:t>249-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362-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შეწყდ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z w:val="24"/>
          <w:szCs w:val="24"/>
        </w:rPr>
        <w:t>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sz w:val="24"/>
          <w:szCs w:val="24"/>
        </w:rPr>
        <w:t>.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</w:t>
      </w:r>
      <w:r>
        <w:rPr>
          <w:rFonts w:ascii="Sylfaen" w:hAnsi="Sylfaen" w:cs="Sylfaen"/>
          <w:sz w:val="24"/>
          <w:szCs w:val="24"/>
        </w:rPr>
        <w:t>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ერთნაირად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გამოსაცდელ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ჩამორთმევისა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მოეხსნება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ბრალდებულის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ძებნილი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მსჯავრდებუ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ძებნილი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>მტანი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პატიმრობაში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პენიტენციური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არასაპატიმრო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</w:t>
      </w:r>
      <w:r>
        <w:rPr>
          <w:rFonts w:ascii="Sylfaen" w:hAnsi="Sylfaen" w:cs="Sylfaen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ძებნილი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პროკურატურა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ძებნილი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გამოტანილი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გასაჩივრებულა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292-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-300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ინსტანციის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</w:t>
      </w:r>
      <w:r>
        <w:rPr>
          <w:rFonts w:ascii="Sylfaen" w:hAnsi="Sylfaen" w:cs="Sylfaen"/>
          <w:sz w:val="24"/>
          <w:szCs w:val="24"/>
        </w:rPr>
        <w:t>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პროკურატურა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დასრულებული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არასაპატიმრო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ფარდებული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გამომტანი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</w:t>
      </w:r>
      <w:r>
        <w:rPr>
          <w:rFonts w:ascii="Sylfaen" w:hAnsi="Sylfaen" w:cs="Sylfaen"/>
          <w:sz w:val="24"/>
          <w:szCs w:val="24"/>
        </w:rPr>
        <w:t>პატიმრო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შეფარდებული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გადავადებული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გამომტანი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ადვოკატმა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წევრმა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</w:t>
      </w:r>
      <w:r>
        <w:rPr>
          <w:rFonts w:ascii="Sylfaen" w:hAnsi="Sylfaen" w:cs="Sylfaen"/>
          <w:sz w:val="24"/>
          <w:szCs w:val="24"/>
        </w:rPr>
        <w:t>დაში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24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C4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№5577-II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DC49AD">
      <w:pPr>
        <w:pStyle w:val="Normal0"/>
        <w:rPr>
          <w:rFonts w:ascii="Sylfaen" w:hAnsi="Sylfaen" w:cs="Sylfaen"/>
        </w:rPr>
      </w:pPr>
    </w:p>
    <w:sectPr w:rsidR="00000000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C49AD"/>
    <w:rsid w:val="00D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