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სამოქალაქო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საპროცესო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№47-48, 31.12.1997,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500 000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სირთულით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დავისა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2. 356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აქციათა</w:t>
      </w:r>
      <w:r>
        <w:rPr>
          <w:rFonts w:ascii="Sylfaen" w:hAnsi="Sylfaen" w:cs="Sylfaen"/>
          <w:sz w:val="24"/>
          <w:szCs w:val="24"/>
        </w:rPr>
        <w:t>) 50%-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გათავისუფ</w:t>
      </w:r>
      <w:r>
        <w:rPr>
          <w:rFonts w:ascii="Sylfaen" w:hAnsi="Sylfaen" w:cs="Sylfaen"/>
          <w:sz w:val="24"/>
          <w:szCs w:val="24"/>
        </w:rPr>
        <w:t>ლებულია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162)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N4370-I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FB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0629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