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FC4E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0681EDE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574FF05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საარჩევნო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კოდექსი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34682A86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B342A01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</w:t>
      </w:r>
      <w:r>
        <w:rPr>
          <w:rFonts w:ascii="Sylfaen" w:hAnsi="Sylfaen" w:cs="Sylfaen"/>
          <w:sz w:val="24"/>
          <w:szCs w:val="24"/>
        </w:rPr>
        <w:t xml:space="preserve">), 10.01.2012,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010190020.04.001.016032)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B3C1B3D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BEDD9D1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ცესკოსა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EC9D48F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FEC3D2D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ცესკოს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>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უპარტიო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4F3CF47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86387CC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ცესკოს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უპარტიო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</w:t>
      </w:r>
      <w:r>
        <w:rPr>
          <w:rFonts w:ascii="Sylfaen" w:hAnsi="Sylfaen" w:cs="Sylfaen"/>
          <w:sz w:val="24"/>
          <w:szCs w:val="24"/>
        </w:rPr>
        <w:t>კატი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D5D6F02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7867A8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ხარჯთაღრიცხვას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A2D8041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E9E30DB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</w:t>
      </w:r>
      <w:r>
        <w:rPr>
          <w:rFonts w:ascii="Sylfaen" w:hAnsi="Sylfaen" w:cs="Sylfaen"/>
          <w:sz w:val="24"/>
          <w:szCs w:val="24"/>
        </w:rPr>
        <w:t>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მოეთხოვებათ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ცესკო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5C502F9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0FD3E3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საოლქო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დაიქირაოს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პერსონალი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ბუღალტრისა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ცესკოს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440859B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საოლქო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დაიქირაოს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ბუღალტერი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A52527E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168)</w:t>
      </w:r>
    </w:p>
    <w:p w14:paraId="133374AF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81006EF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9E6E2DA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99B1D8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8486D7A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D9CE27F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N4392-I</w:t>
      </w:r>
      <w:r>
        <w:rPr>
          <w:rFonts w:ascii="Sylfaen" w:hAnsi="Sylfaen" w:cs="Sylfaen"/>
          <w:sz w:val="24"/>
          <w:szCs w:val="24"/>
        </w:rPr>
        <w:t>ს</w:t>
      </w:r>
    </w:p>
    <w:p w14:paraId="46AA01AC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30EEDAB" w14:textId="77777777" w:rsidR="00000000" w:rsidRDefault="00D66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6CDA"/>
    <w:rsid w:val="00D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046E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