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71E2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E7ABB94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7AD363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Sylfaen" w:hAnsi="Sylfaen" w:cs="Sylfaen"/>
          <w:b/>
          <w:bCs/>
          <w:sz w:val="32"/>
          <w:szCs w:val="32"/>
        </w:rPr>
        <w:t>ადმინისტრაციულ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Sylfaen" w:hAnsi="Sylfaen" w:cs="Sylfaen"/>
          <w:b/>
          <w:bCs/>
          <w:sz w:val="32"/>
          <w:szCs w:val="32"/>
        </w:rPr>
        <w:t>სამართალდარღვევათა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</w:p>
    <w:p w14:paraId="340C66C4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5ACF32F6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2E553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№12, 1984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421)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14:paraId="708498CF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1. 187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29E7407A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208-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27A144CA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208. </w:t>
      </w: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განსჯადი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</w:t>
      </w:r>
      <w:r>
        <w:rPr>
          <w:rFonts w:ascii="Sylfaen" w:hAnsi="Sylfaen" w:cs="Sylfaen"/>
          <w:sz w:val="24"/>
          <w:szCs w:val="24"/>
        </w:rPr>
        <w:t xml:space="preserve">     </w:t>
      </w:r>
    </w:p>
    <w:p w14:paraId="70D8C342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</w:t>
      </w:r>
      <w:r>
        <w:rPr>
          <w:rFonts w:ascii="Sylfaen" w:hAnsi="Sylfaen" w:cs="Sylfaen"/>
          <w:sz w:val="24"/>
          <w:szCs w:val="24"/>
        </w:rPr>
        <w:t>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42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42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43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44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44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>, 44</w:t>
      </w:r>
      <w:r>
        <w:rPr>
          <w:rFonts w:ascii="Sylfaen" w:hAnsi="Sylfaen" w:cs="Sylfaen"/>
          <w:position w:val="12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>–46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50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–55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59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-60, 60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61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65-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69-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71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72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79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82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82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84-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–86-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87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89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91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91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94-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95-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99-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100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100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103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104-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105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127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128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–128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>, 143-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144-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144</w:t>
      </w:r>
      <w:r>
        <w:rPr>
          <w:rFonts w:ascii="Sylfaen" w:hAnsi="Sylfaen" w:cs="Sylfaen"/>
          <w:position w:val="12"/>
          <w:sz w:val="24"/>
          <w:szCs w:val="24"/>
        </w:rPr>
        <w:t>10</w:t>
      </w:r>
      <w:r>
        <w:rPr>
          <w:rFonts w:ascii="Sylfaen" w:hAnsi="Sylfaen" w:cs="Sylfaen"/>
          <w:sz w:val="24"/>
          <w:szCs w:val="24"/>
        </w:rPr>
        <w:t>, 145-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146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152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152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  153-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153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–153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153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154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155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–156-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–158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159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159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–159</w:t>
      </w:r>
      <w:r>
        <w:rPr>
          <w:rFonts w:ascii="Sylfaen" w:hAnsi="Sylfaen" w:cs="Sylfaen"/>
          <w:position w:val="12"/>
          <w:sz w:val="24"/>
          <w:szCs w:val="24"/>
        </w:rPr>
        <w:t>10</w:t>
      </w:r>
      <w:r>
        <w:rPr>
          <w:rFonts w:ascii="Sylfaen" w:hAnsi="Sylfaen" w:cs="Sylfaen"/>
          <w:sz w:val="24"/>
          <w:szCs w:val="24"/>
        </w:rPr>
        <w:t>, 163-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164-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164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165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–165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166-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167-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171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172-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172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–172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>, 173-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173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–173</w:t>
      </w:r>
      <w:r>
        <w:rPr>
          <w:rFonts w:ascii="Sylfaen" w:hAnsi="Sylfaen" w:cs="Sylfaen"/>
          <w:position w:val="12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>, 173</w:t>
      </w:r>
      <w:r>
        <w:rPr>
          <w:rFonts w:ascii="Sylfaen" w:hAnsi="Sylfaen" w:cs="Sylfaen"/>
          <w:position w:val="12"/>
          <w:sz w:val="24"/>
          <w:szCs w:val="24"/>
        </w:rPr>
        <w:t>9</w:t>
      </w:r>
      <w:r>
        <w:rPr>
          <w:rFonts w:ascii="Sylfaen" w:hAnsi="Sylfaen" w:cs="Sylfaen"/>
          <w:sz w:val="24"/>
          <w:szCs w:val="24"/>
        </w:rPr>
        <w:t>, 173</w:t>
      </w:r>
      <w:r>
        <w:rPr>
          <w:rFonts w:ascii="Sylfaen" w:hAnsi="Sylfaen" w:cs="Sylfaen"/>
          <w:position w:val="12"/>
          <w:sz w:val="24"/>
          <w:szCs w:val="24"/>
        </w:rPr>
        <w:t>12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174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174</w:t>
      </w:r>
      <w:r>
        <w:rPr>
          <w:rFonts w:ascii="Sylfaen" w:hAnsi="Sylfaen" w:cs="Sylfaen"/>
          <w:position w:val="12"/>
          <w:sz w:val="24"/>
          <w:szCs w:val="24"/>
        </w:rPr>
        <w:t>15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</w:t>
      </w:r>
      <w:r>
        <w:rPr>
          <w:rFonts w:ascii="Sylfaen" w:hAnsi="Sylfaen" w:cs="Sylfaen"/>
          <w:sz w:val="24"/>
          <w:szCs w:val="24"/>
        </w:rPr>
        <w:t>75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175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177</w:t>
      </w:r>
      <w:r>
        <w:rPr>
          <w:rFonts w:ascii="Sylfaen" w:hAnsi="Sylfaen" w:cs="Sylfaen"/>
          <w:position w:val="12"/>
          <w:sz w:val="24"/>
          <w:szCs w:val="24"/>
        </w:rPr>
        <w:t>8</w:t>
      </w:r>
      <w:r>
        <w:rPr>
          <w:rFonts w:ascii="Sylfaen" w:hAnsi="Sylfaen" w:cs="Sylfaen"/>
          <w:sz w:val="24"/>
          <w:szCs w:val="24"/>
        </w:rPr>
        <w:t>, 177</w:t>
      </w:r>
      <w:r>
        <w:rPr>
          <w:rFonts w:ascii="Sylfaen" w:hAnsi="Sylfaen" w:cs="Sylfaen"/>
          <w:position w:val="12"/>
          <w:sz w:val="24"/>
          <w:szCs w:val="24"/>
        </w:rPr>
        <w:t>9</w:t>
      </w:r>
      <w:r>
        <w:rPr>
          <w:rFonts w:ascii="Sylfaen" w:hAnsi="Sylfaen" w:cs="Sylfaen"/>
          <w:sz w:val="24"/>
          <w:szCs w:val="24"/>
        </w:rPr>
        <w:t>, 177</w:t>
      </w:r>
      <w:r>
        <w:rPr>
          <w:rFonts w:ascii="Sylfaen" w:hAnsi="Sylfaen" w:cs="Sylfaen"/>
          <w:position w:val="12"/>
          <w:sz w:val="24"/>
          <w:szCs w:val="24"/>
        </w:rPr>
        <w:t>11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179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–179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180-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181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182-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183-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187-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187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189-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196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196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>, 197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197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.“.</w:t>
      </w:r>
    </w:p>
    <w:p w14:paraId="46C7BEED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„3. 252-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 xml:space="preserve">(29.12.2016 </w:t>
      </w:r>
      <w:r>
        <w:rPr>
          <w:rFonts w:ascii="Sylfaen" w:hAnsi="Sylfaen" w:cs="Sylfaen"/>
          <w:i/>
          <w:iCs/>
          <w:sz w:val="20"/>
          <w:szCs w:val="20"/>
        </w:rPr>
        <w:t>N 242)</w:t>
      </w:r>
    </w:p>
    <w:p w14:paraId="77F45EFD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59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-60,  60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61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65-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69-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69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69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>, 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72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79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82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82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84-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86-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88-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89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91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92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94-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95-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96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96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96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98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99-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100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100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103-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–104-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105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144-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146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152-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152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152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153-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153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–153</w:t>
      </w:r>
      <w:r>
        <w:rPr>
          <w:rFonts w:ascii="Sylfaen" w:hAnsi="Sylfaen" w:cs="Sylfaen"/>
          <w:position w:val="6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>, 154-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154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–158-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164-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164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165-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165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167-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172-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172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173-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–173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173</w:t>
      </w:r>
      <w:r>
        <w:rPr>
          <w:rFonts w:ascii="Sylfaen" w:hAnsi="Sylfaen" w:cs="Sylfaen"/>
          <w:position w:val="6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>, 173</w:t>
      </w:r>
      <w:r>
        <w:rPr>
          <w:rFonts w:ascii="Sylfaen" w:hAnsi="Sylfaen" w:cs="Sylfaen"/>
          <w:position w:val="6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>, 173</w:t>
      </w:r>
      <w:r>
        <w:rPr>
          <w:rFonts w:ascii="Sylfaen" w:hAnsi="Sylfaen" w:cs="Sylfaen"/>
          <w:position w:val="6"/>
          <w:sz w:val="24"/>
          <w:szCs w:val="24"/>
        </w:rPr>
        <w:t>9</w:t>
      </w:r>
      <w:r>
        <w:rPr>
          <w:rFonts w:ascii="Sylfaen" w:hAnsi="Sylfaen" w:cs="Sylfaen"/>
          <w:sz w:val="24"/>
          <w:szCs w:val="24"/>
        </w:rPr>
        <w:t>, 174-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–174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175-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175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177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177</w:t>
      </w:r>
      <w:r>
        <w:rPr>
          <w:rFonts w:ascii="Sylfaen" w:hAnsi="Sylfaen" w:cs="Sylfaen"/>
          <w:position w:val="6"/>
          <w:sz w:val="24"/>
          <w:szCs w:val="24"/>
        </w:rPr>
        <w:t>8</w:t>
      </w:r>
      <w:r>
        <w:rPr>
          <w:rFonts w:ascii="Sylfaen" w:hAnsi="Sylfaen" w:cs="Sylfaen"/>
          <w:sz w:val="24"/>
          <w:szCs w:val="24"/>
        </w:rPr>
        <w:t>, 177</w:t>
      </w:r>
      <w:r>
        <w:rPr>
          <w:rFonts w:ascii="Sylfaen" w:hAnsi="Sylfaen" w:cs="Sylfaen"/>
          <w:position w:val="6"/>
          <w:sz w:val="24"/>
          <w:szCs w:val="24"/>
        </w:rPr>
        <w:t>9</w:t>
      </w:r>
      <w:r>
        <w:rPr>
          <w:rFonts w:ascii="Sylfaen" w:hAnsi="Sylfaen" w:cs="Sylfaen"/>
          <w:sz w:val="24"/>
          <w:szCs w:val="24"/>
        </w:rPr>
        <w:t>, 179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180-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–183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185-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–185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187-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187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189-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 192-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196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197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პასუხისგებაში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დასწრება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არიდებს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გამოძახებით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მიყვანილი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>.“.</w:t>
      </w:r>
    </w:p>
    <w:p w14:paraId="74ED0864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262-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4467E787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42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42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175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განიხილება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ღამის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153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154-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174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174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</w:t>
      </w:r>
      <w:r>
        <w:rPr>
          <w:rFonts w:ascii="Sylfaen" w:hAnsi="Sylfaen" w:cs="Sylfaen"/>
          <w:sz w:val="24"/>
          <w:szCs w:val="24"/>
        </w:rPr>
        <w:t xml:space="preserve"> – 3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50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51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51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53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55-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55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55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55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>, 58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59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61-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-80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86-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88-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91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92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94-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95-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96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96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96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98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99-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100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100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103-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104-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105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107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141-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144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144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144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>, 144</w:t>
      </w:r>
      <w:r>
        <w:rPr>
          <w:rFonts w:ascii="Sylfaen" w:hAnsi="Sylfaen" w:cs="Sylfaen"/>
          <w:position w:val="12"/>
          <w:sz w:val="24"/>
          <w:szCs w:val="24"/>
        </w:rPr>
        <w:t>10</w:t>
      </w:r>
      <w:r>
        <w:rPr>
          <w:rFonts w:ascii="Sylfaen" w:hAnsi="Sylfaen" w:cs="Sylfaen"/>
          <w:sz w:val="24"/>
          <w:szCs w:val="24"/>
        </w:rPr>
        <w:t>, 145-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146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–150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151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152-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152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153-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154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154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158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159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159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>–159</w:t>
      </w:r>
      <w:r>
        <w:rPr>
          <w:rFonts w:ascii="Sylfaen" w:hAnsi="Sylfaen" w:cs="Sylfaen"/>
          <w:position w:val="12"/>
          <w:sz w:val="24"/>
          <w:szCs w:val="24"/>
        </w:rPr>
        <w:t>9</w:t>
      </w:r>
      <w:r>
        <w:rPr>
          <w:rFonts w:ascii="Sylfaen" w:hAnsi="Sylfaen" w:cs="Sylfaen"/>
          <w:sz w:val="24"/>
          <w:szCs w:val="24"/>
        </w:rPr>
        <w:t>, 163-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164-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167-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170-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174-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175-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177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17</w:t>
      </w:r>
      <w:r>
        <w:rPr>
          <w:rFonts w:ascii="Sylfaen" w:hAnsi="Sylfaen" w:cs="Sylfaen"/>
          <w:sz w:val="24"/>
          <w:szCs w:val="24"/>
        </w:rPr>
        <w:t>9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180-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–183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185-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–185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187-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187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189-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196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196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197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</w:t>
      </w:r>
      <w:r>
        <w:rPr>
          <w:rFonts w:ascii="Sylfaen" w:hAnsi="Sylfaen" w:cs="Sylfaen"/>
          <w:sz w:val="24"/>
          <w:szCs w:val="24"/>
        </w:rPr>
        <w:t xml:space="preserve"> – 7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.“.</w:t>
      </w:r>
    </w:p>
    <w:p w14:paraId="612A01FA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</w:p>
    <w:p w14:paraId="239ACF28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> 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თებერვლიდან</w:t>
      </w:r>
      <w:r>
        <w:rPr>
          <w:rFonts w:ascii="Sylfaen" w:hAnsi="Sylfaen" w:cs="Sylfaen"/>
          <w:sz w:val="24"/>
          <w:szCs w:val="24"/>
        </w:rPr>
        <w:t>.</w:t>
      </w:r>
    </w:p>
    <w:p w14:paraId="0509E443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</w:p>
    <w:p w14:paraId="678690B1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> 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 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</w:p>
    <w:p w14:paraId="3069B28A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</w:p>
    <w:p w14:paraId="61F3229C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4783A9A4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დეკემბერი</w:t>
      </w:r>
      <w:r>
        <w:rPr>
          <w:rFonts w:ascii="Sylfaen" w:hAnsi="Sylfaen" w:cs="Sylfaen"/>
          <w:sz w:val="24"/>
          <w:szCs w:val="24"/>
        </w:rPr>
        <w:t>.</w:t>
      </w:r>
    </w:p>
    <w:p w14:paraId="210FD2CB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№49-I</w:t>
      </w:r>
      <w:r>
        <w:rPr>
          <w:rFonts w:ascii="Sylfaen" w:hAnsi="Sylfaen" w:cs="Sylfaen"/>
          <w:sz w:val="24"/>
          <w:szCs w:val="24"/>
        </w:rPr>
        <w:t>ს</w:t>
      </w:r>
    </w:p>
    <w:p w14:paraId="771683E5" w14:textId="77777777" w:rsidR="00000000" w:rsidRDefault="0033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33162"/>
    <w:rsid w:val="0033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E80D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