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კომერციული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ბანკების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№003, 27.03.96,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15)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</w:t>
      </w:r>
      <w:r>
        <w:rPr>
          <w:rFonts w:ascii="Sylfaen" w:hAnsi="Sylfaen" w:cs="Sylfaen"/>
          <w:sz w:val="24"/>
          <w:szCs w:val="24"/>
        </w:rPr>
        <w:t>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სექტორს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</w:t>
      </w:r>
      <w:r>
        <w:rPr>
          <w:rFonts w:ascii="Sylfaen" w:hAnsi="Sylfaen" w:cs="Sylfaen"/>
          <w:sz w:val="24"/>
          <w:szCs w:val="24"/>
        </w:rPr>
        <w:t>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განვითარებული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სარეიტინგო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რეიტინგი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სარეიტინგო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სარეიტინგო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</w:t>
      </w:r>
      <w:r>
        <w:rPr>
          <w:rFonts w:ascii="Sylfaen" w:hAnsi="Sylfaen" w:cs="Sylfaen"/>
          <w:sz w:val="24"/>
          <w:szCs w:val="24"/>
        </w:rPr>
        <w:t>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რეიტინგის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მოიზიდოს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წარმომადგენლობისა</w:t>
      </w:r>
      <w:r>
        <w:rPr>
          <w:rFonts w:ascii="Sylfaen" w:hAnsi="Sylfaen" w:cs="Sylfaen"/>
          <w:sz w:val="24"/>
          <w:szCs w:val="24"/>
        </w:rPr>
        <w:t xml:space="preserve">)),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დამფუძნებელი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დედნები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აპოსტილით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</w:t>
      </w:r>
      <w:r>
        <w:rPr>
          <w:rFonts w:ascii="Sylfaen" w:hAnsi="Sylfaen" w:cs="Sylfaen"/>
          <w:sz w:val="24"/>
          <w:szCs w:val="24"/>
        </w:rPr>
        <w:t>ერიუმებთან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განაღდებული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</w:t>
      </w:r>
      <w:r>
        <w:rPr>
          <w:rFonts w:ascii="Sylfaen" w:hAnsi="Sylfaen" w:cs="Sylfaen"/>
          <w:sz w:val="24"/>
          <w:szCs w:val="24"/>
        </w:rPr>
        <w:t>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</w:t>
      </w:r>
      <w:r>
        <w:rPr>
          <w:rFonts w:ascii="Sylfaen" w:hAnsi="Sylfaen" w:cs="Sylfaen"/>
          <w:sz w:val="24"/>
          <w:szCs w:val="24"/>
        </w:rPr>
        <w:t>ფლის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უძრავ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გადაწყვეტილება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ლიცენზირების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განმცხადებელს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განაღდებული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</w:t>
      </w:r>
      <w:r>
        <w:rPr>
          <w:rFonts w:ascii="Sylfaen" w:hAnsi="Sylfaen" w:cs="Sylfaen"/>
          <w:sz w:val="24"/>
          <w:szCs w:val="24"/>
        </w:rPr>
        <w:t>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სათავო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მიიზიდოს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</w:t>
      </w:r>
      <w:r>
        <w:rPr>
          <w:rFonts w:ascii="Sylfaen" w:hAnsi="Sylfaen" w:cs="Sylfaen"/>
          <w:sz w:val="24"/>
          <w:szCs w:val="24"/>
        </w:rPr>
        <w:t>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დამფუძნებელი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ნცხადება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დასტურდება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დამფუძნებელ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რეიტინგის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ენიჭება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სარეზერვო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დაურთ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ონმდებლობას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წესებს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დადგენილებებს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აღმოსაფხვრელად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საბანკო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ლიცენზიის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</w:t>
      </w:r>
      <w:r>
        <w:rPr>
          <w:rFonts w:ascii="Sylfaen" w:hAnsi="Sylfaen" w:cs="Sylfaen"/>
          <w:b/>
          <w:bCs/>
          <w:sz w:val="24"/>
          <w:szCs w:val="24"/>
        </w:rPr>
        <w:t>აუქმება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ყალბი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უზუსტობების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თარიღიდან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</w:t>
      </w:r>
      <w:r>
        <w:rPr>
          <w:rFonts w:ascii="Sylfaen" w:hAnsi="Sylfaen" w:cs="Sylfaen"/>
          <w:sz w:val="24"/>
          <w:szCs w:val="24"/>
        </w:rPr>
        <w:t>ბაში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შერწყმის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მიერთების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ნდობა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მინდობილი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პარტნიორებმა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აქციონერებმა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გადაწყვიტეს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ეწეოდა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შემქმნელ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არაჯანსაღ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დეპოზიტორებს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აქციონერთა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</w:t>
      </w:r>
      <w:r>
        <w:rPr>
          <w:rFonts w:ascii="Sylfaen" w:hAnsi="Sylfaen" w:cs="Sylfaen"/>
          <w:sz w:val="24"/>
          <w:szCs w:val="24"/>
        </w:rPr>
        <w:t>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იმყოფება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ჩამოერთვა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</w:t>
      </w:r>
      <w:r>
        <w:rPr>
          <w:rFonts w:ascii="Sylfaen" w:hAnsi="Sylfaen" w:cs="Sylfaen"/>
          <w:sz w:val="24"/>
          <w:szCs w:val="24"/>
        </w:rPr>
        <w:t>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საბანკო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ლიცენზიის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გაუქმება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თხოვნით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გაუუქმოს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).“.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ქვეყნდე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ბეჭდვით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თარიღიდან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გადახდისუუნარობასა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გაკოტრებაზე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</w:t>
      </w:r>
      <w:r>
        <w:rPr>
          <w:rFonts w:ascii="Sylfaen" w:hAnsi="Sylfaen" w:cs="Sylfaen"/>
          <w:sz w:val="24"/>
          <w:szCs w:val="24"/>
        </w:rPr>
        <w:t>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დეკლარანტი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მეს</w:t>
      </w:r>
      <w:r>
        <w:rPr>
          <w:rFonts w:ascii="Sylfaen" w:hAnsi="Sylfaen" w:cs="Sylfaen"/>
          <w:sz w:val="24"/>
          <w:szCs w:val="24"/>
        </w:rPr>
        <w:t>აკუთრეების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10, 25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50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გადააჭარბებს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შესაფერისობის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).“.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10. 8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>– 8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დეკლარაციის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განხილვა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აძლევს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ეუბნება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არაზუსტი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გადაამოწმოს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დააზუსტოს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გრძელდება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დეკლარანტს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უცემლობა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მიცემას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ბათილია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დეკლარანტმა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3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სააგენტოსთვის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წარსადგენი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ინფორმაცია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დაყრდნობით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აწვდის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აღნიშნავს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სიზუსტეს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აპრილში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დეკემბრის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სააგენტოსთვის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მიუწოდებლობის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4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სანქცია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გასაჩივრება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საფუძვლიანი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ეჭვის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უშუალო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უვადოდ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ისარგებლოს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მოთხოვნები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კაპიტალისა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რეზერვების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მიმართ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</w:t>
      </w:r>
      <w:r>
        <w:rPr>
          <w:rFonts w:ascii="Sylfaen" w:hAnsi="Sylfaen" w:cs="Sylfaen"/>
          <w:sz w:val="24"/>
          <w:szCs w:val="24"/>
        </w:rPr>
        <w:t>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განაღდებული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ფორმირება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შეამციროს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გამოსყიდვით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შეამციროს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შეუტანლად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20 </w:t>
      </w:r>
      <w:r>
        <w:rPr>
          <w:rFonts w:ascii="Sylfaen" w:hAnsi="Sylfaen" w:cs="Sylfaen"/>
          <w:sz w:val="24"/>
          <w:szCs w:val="24"/>
        </w:rPr>
        <w:t>პროცენტისა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შეუზღუდავი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</w:t>
      </w:r>
      <w:r>
        <w:rPr>
          <w:rFonts w:ascii="Sylfaen" w:hAnsi="Sylfaen" w:cs="Sylfaen"/>
          <w:sz w:val="24"/>
          <w:szCs w:val="24"/>
        </w:rPr>
        <w:t>ოდეს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ნებართვაში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დათქმული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ასანაზღაურებლად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დაირღვა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გაასხვისოს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გააგრძელოს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შექმნას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საბროკერო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ქაღალდების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საბროკერო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შეუზღუდავი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პროცენტს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არაპირდაპირ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პროცენტზე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ბენეფიციარ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მესაკუთრესთან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გამოაქვეყნოს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ანგარიშში</w:t>
      </w:r>
      <w:r>
        <w:rPr>
          <w:rFonts w:ascii="Sylfaen" w:hAnsi="Sylfaen" w:cs="Sylfaen"/>
          <w:sz w:val="24"/>
          <w:szCs w:val="24"/>
        </w:rPr>
        <w:t xml:space="preserve">. 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ეფუძნება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</w:t>
      </w:r>
      <w:r>
        <w:rPr>
          <w:rFonts w:ascii="Sylfaen" w:hAnsi="Sylfaen" w:cs="Sylfaen"/>
          <w:sz w:val="24"/>
          <w:szCs w:val="24"/>
        </w:rPr>
        <w:t>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საუკეთესო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პრაქტიკას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13. 10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კომერციულმა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განსახორციელებლად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შეძენიდან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</w:t>
      </w:r>
      <w:r>
        <w:rPr>
          <w:rFonts w:ascii="Sylfaen" w:hAnsi="Sylfaen" w:cs="Sylfaen"/>
          <w:sz w:val="24"/>
          <w:szCs w:val="24"/>
        </w:rPr>
        <w:t>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ტერორიზმის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ბრძოლისა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(FATF-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რეკომენდაციების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ტერორიზმის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</w:t>
      </w:r>
      <w:r>
        <w:rPr>
          <w:rFonts w:ascii="Sylfaen" w:hAnsi="Sylfaen" w:cs="Sylfaen"/>
          <w:sz w:val="24"/>
          <w:szCs w:val="24"/>
        </w:rPr>
        <w:t>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ტერორიზმის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წინააღმდეგ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ბრძოლასთან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კრძალავს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ზღუდავს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ადგილსამყოფელი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-11–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შერწყმა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მიერთება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გაყოფა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შერწყმა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მიერთება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</w:t>
      </w:r>
      <w:r>
        <w:rPr>
          <w:rFonts w:ascii="Sylfaen" w:hAnsi="Sylfaen" w:cs="Sylfaen"/>
          <w:sz w:val="24"/>
          <w:szCs w:val="24"/>
        </w:rPr>
        <w:t>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შერწყმა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მიერთება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წესდება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წესდებაში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შინაგანაწესით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საოპერაციო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ქვედანაყოფების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შემადგენელი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მმართველობითი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ანგარიშვალდებულებები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ქვეშ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მოვალეობანი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დმინისტრატორებისა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აწარმოონ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წესდებას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შინაგანაწესს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</w:t>
      </w:r>
      <w:r>
        <w:rPr>
          <w:rFonts w:ascii="Sylfaen" w:hAnsi="Sylfaen" w:cs="Sylfaen"/>
          <w:sz w:val="24"/>
          <w:szCs w:val="24"/>
        </w:rPr>
        <w:t>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ნიმუშები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ხელმძღვანელი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ფუნქციონირე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მეწარმეთა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</w:t>
      </w:r>
      <w:r>
        <w:rPr>
          <w:rFonts w:ascii="Sylfaen" w:hAnsi="Sylfaen" w:cs="Sylfaen"/>
          <w:sz w:val="24"/>
          <w:szCs w:val="24"/>
        </w:rPr>
        <w:t>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კრებაში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-18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18. </w:t>
      </w:r>
      <w:r>
        <w:rPr>
          <w:rFonts w:ascii="Sylfaen" w:hAnsi="Sylfaen" w:cs="Sylfaen"/>
          <w:b/>
          <w:bCs/>
          <w:sz w:val="24"/>
          <w:szCs w:val="24"/>
        </w:rPr>
        <w:t>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ფილიალები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წარმომადგენლობები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ანალოგიური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ქვედანაყოფები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საოპერაციო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სააღრიცხვო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საბანკ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</w:t>
      </w:r>
      <w:r>
        <w:rPr>
          <w:rFonts w:ascii="Sylfaen" w:hAnsi="Sylfaen" w:cs="Sylfaen"/>
          <w:sz w:val="24"/>
          <w:szCs w:val="24"/>
        </w:rPr>
        <w:t>კს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ნორმატივებსა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</w:t>
      </w:r>
      <w:r>
        <w:rPr>
          <w:rFonts w:ascii="Sylfaen" w:hAnsi="Sylfaen" w:cs="Sylfaen"/>
          <w:sz w:val="24"/>
          <w:szCs w:val="24"/>
        </w:rPr>
        <w:t>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ჩვევების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ინარჩუნებს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დივერსიფიკაციას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დანაკარგების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21. </w:t>
      </w:r>
      <w:r>
        <w:rPr>
          <w:rFonts w:ascii="Sylfaen" w:hAnsi="Sylfaen" w:cs="Sylfaen"/>
          <w:b/>
          <w:bCs/>
          <w:sz w:val="24"/>
          <w:szCs w:val="24"/>
        </w:rPr>
        <w:t>ეკონომიკური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ლიმიტები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ნორმატივები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ლიმიტები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</w:t>
      </w:r>
      <w:r>
        <w:rPr>
          <w:rFonts w:ascii="Sylfaen" w:hAnsi="Sylfaen" w:cs="Sylfaen"/>
          <w:sz w:val="24"/>
          <w:szCs w:val="24"/>
        </w:rPr>
        <w:t>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სხვადასხვა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კლასიფიცირებულ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თანაფარდობა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ანაბრების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თანაფარდობა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კაპიტალთან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მსესხებე</w:t>
      </w:r>
      <w:r>
        <w:rPr>
          <w:rFonts w:ascii="Sylfaen" w:hAnsi="Sylfaen" w:cs="Sylfaen"/>
          <w:sz w:val="24"/>
          <w:szCs w:val="24"/>
        </w:rPr>
        <w:t>ლზე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ინსაიდერსა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აუტსაიდერზე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თანაფარდობა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კაპიტალთან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ინსაიდერზე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ბანკთან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</w:t>
      </w:r>
      <w:r>
        <w:rPr>
          <w:rFonts w:ascii="Sylfaen" w:hAnsi="Sylfaen" w:cs="Sylfaen"/>
          <w:sz w:val="24"/>
          <w:szCs w:val="24"/>
        </w:rPr>
        <w:t>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თანაფარდობა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საზედამხედველო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კაპიტალთან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გამოიხატება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მიმართებით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ბანკმა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მსხვილ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მსესხებელზე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ინსაიდერებსა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ლიკვიდური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ინიმალური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თანაფარდობა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ღირებულებასთან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ცვლილებასთან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თანაფარდობა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ვალდებულებებთან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რესაბალანსო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სახეობებთან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კრედიტებისა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ინვესტიციების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გარესაბალანსო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კლასიფიკაცია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დანაკარგების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რეზერვების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შემოსავალში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ნაღდად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აკრძალვების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ინვესტიციების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სახეობებსა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გარესაბალანსო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</w:t>
      </w:r>
      <w:r>
        <w:rPr>
          <w:rFonts w:ascii="Sylfaen" w:hAnsi="Sylfaen" w:cs="Sylfaen"/>
          <w:sz w:val="24"/>
          <w:szCs w:val="24"/>
        </w:rPr>
        <w:t>ლებების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ლიმიტების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გადამეტებით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პოზიციებს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ვალუტაში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ძვირფას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ლითონებში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ძვირფას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რისკზე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დამყარებული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</w:t>
      </w:r>
      <w:r>
        <w:rPr>
          <w:rFonts w:ascii="Sylfaen" w:hAnsi="Sylfaen" w:cs="Sylfaen"/>
          <w:sz w:val="24"/>
          <w:szCs w:val="24"/>
        </w:rPr>
        <w:t>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ლიმიტებისა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ეკრძალება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დომინირებულ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ბაზარზე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მანიპულაცია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დაუმსახურებელ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</w:t>
      </w:r>
      <w:r>
        <w:rPr>
          <w:rFonts w:ascii="Sylfaen" w:hAnsi="Sylfaen" w:cs="Sylfaen"/>
          <w:sz w:val="24"/>
          <w:szCs w:val="24"/>
        </w:rPr>
        <w:t>ირატესობას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შექმნის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გასამრჯელოს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ფიქსაციის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საშიშროებას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კონკურენციი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პარამეტრებს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23-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კერძოდ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შუამდგომლობები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სახელშეკრულებო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შეეხება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კრედიტთან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გარანტიასთან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მსესხებლებისა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გარანტორების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ეყრდნობა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ბანკები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</w:t>
      </w:r>
      <w:r>
        <w:rPr>
          <w:rFonts w:ascii="Sylfaen" w:hAnsi="Sylfaen" w:cs="Sylfaen"/>
          <w:sz w:val="24"/>
          <w:szCs w:val="24"/>
        </w:rPr>
        <w:t>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საბუღალტრო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ზუსტად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იცავენ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დეტალურობის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სააღრიცხვო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</w:t>
      </w:r>
      <w:r>
        <w:rPr>
          <w:rFonts w:ascii="Sylfaen" w:hAnsi="Sylfaen" w:cs="Sylfaen"/>
          <w:sz w:val="24"/>
          <w:szCs w:val="24"/>
        </w:rPr>
        <w:t>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27. </w:t>
      </w:r>
      <w:r>
        <w:rPr>
          <w:rFonts w:ascii="Sylfaen" w:hAnsi="Sylfaen" w:cs="Sylfaen"/>
          <w:b/>
          <w:bCs/>
          <w:sz w:val="24"/>
          <w:szCs w:val="24"/>
        </w:rPr>
        <w:t>გარე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აუდიტი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ჩაატაროს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>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გამოაქვეყნოს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28. </w:t>
      </w:r>
      <w:r>
        <w:rPr>
          <w:rFonts w:ascii="Sylfaen" w:hAnsi="Sylfaen" w:cs="Sylfaen"/>
          <w:b/>
          <w:bCs/>
          <w:sz w:val="24"/>
          <w:szCs w:val="24"/>
        </w:rPr>
        <w:t>უცხოეთის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ბანკის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ფილიალი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საანგარიშგებო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საბუთები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გამარტივებული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ჩაითვალოს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კომიტეტი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29. </w:t>
      </w:r>
      <w:r>
        <w:rPr>
          <w:rFonts w:ascii="Sylfaen" w:hAnsi="Sylfaen" w:cs="Sylfaen"/>
          <w:b/>
          <w:bCs/>
          <w:sz w:val="24"/>
          <w:szCs w:val="24"/>
        </w:rPr>
        <w:t>ანგარიშგება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ინსპექციები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ამზადებს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ასახავს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ორგანიზაციულ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საგანმკარგულებლო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საოპერაციო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ლიკვიდურობას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გადახდისუნარიანობას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მოგებიანობას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</w:t>
      </w:r>
      <w:r>
        <w:rPr>
          <w:rFonts w:ascii="Sylfaen" w:hAnsi="Sylfaen" w:cs="Sylfaen"/>
          <w:sz w:val="24"/>
          <w:szCs w:val="24"/>
        </w:rPr>
        <w:t>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აუდიტორები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იყვნენ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</w:t>
      </w:r>
      <w:r>
        <w:rPr>
          <w:rFonts w:ascii="Sylfaen" w:hAnsi="Sylfaen" w:cs="Sylfaen"/>
          <w:sz w:val="24"/>
          <w:szCs w:val="24"/>
        </w:rPr>
        <w:t>ონტროლო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შეამოწმონ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დავთრები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საბუთები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მოსთხოვონ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თანამშრომლებს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მონათესავე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მიაწოდონ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მაკონტროლებელი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არაჯეროვნად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22. 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</w:t>
      </w:r>
      <w:r>
        <w:rPr>
          <w:rFonts w:ascii="Sylfaen" w:hAnsi="Sylfaen" w:cs="Sylfaen"/>
          <w:sz w:val="24"/>
          <w:szCs w:val="24"/>
        </w:rPr>
        <w:t>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30. </w:t>
      </w:r>
      <w:r>
        <w:rPr>
          <w:rFonts w:ascii="Sylfaen" w:hAnsi="Sylfaen" w:cs="Sylfaen"/>
          <w:b/>
          <w:bCs/>
          <w:sz w:val="24"/>
          <w:szCs w:val="24"/>
        </w:rPr>
        <w:t>დარღვევები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სანქციები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უფარდებს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მხარეს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მაკონტროლებელი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ქვემოთ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ჩამოთვლილი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მაკონტროლებელმა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პირმა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ინსტრუქცია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</w:t>
      </w:r>
      <w:r>
        <w:rPr>
          <w:rFonts w:ascii="Sylfaen" w:hAnsi="Sylfaen" w:cs="Sylfaen"/>
          <w:sz w:val="24"/>
          <w:szCs w:val="24"/>
        </w:rPr>
        <w:t>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არასწორი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არაზუსტი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უკანონო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ლეგალიზაციის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თანამიმდევრულად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სერიოზულობიდან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არათანამიმდევრულად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გაუგზავნოს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დააწესოს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ინსტრუქცია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მითითება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</w:t>
      </w:r>
      <w:r>
        <w:rPr>
          <w:rFonts w:ascii="Sylfaen" w:hAnsi="Sylfaen" w:cs="Sylfaen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აღმოსაფხვრელად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გადაახდევინოს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ზარალი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მიაყენა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ადმინისტრატორს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სამეთვალყურეო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აქციონერთა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განსახილველად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</w:t>
      </w:r>
      <w:r>
        <w:rPr>
          <w:rFonts w:ascii="Sylfaen" w:hAnsi="Sylfaen" w:cs="Sylfaen"/>
          <w:sz w:val="24"/>
          <w:szCs w:val="24"/>
        </w:rPr>
        <w:t>ოსაფხვრელად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შეუზღუდოს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ზრდა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დივიდენდებისა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დეპოზიტების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როცა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ემუქრება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მეანაბრეთა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შეუჩეროს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მაკონტროლებელი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მიუწოდებლობის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მიიჩნევს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გაუუქმოს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შეესაბამებოდეს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სერიოზულობას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ზარალს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უმოკლეს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აღძრას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გაჯანსაღებისათვის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წარმომადგენლობებისა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ქვედანაყოფების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დახურვის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</w:t>
      </w:r>
      <w:r>
        <w:rPr>
          <w:rFonts w:ascii="Sylfaen" w:hAnsi="Sylfaen" w:cs="Sylfaen"/>
          <w:sz w:val="24"/>
          <w:szCs w:val="24"/>
        </w:rPr>
        <w:t>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შერწყმა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გასხვისება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ეწინააღმდეგებოდეს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საგადახდო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25.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დასაბუთებული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26. 37-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ასრულებს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</w:t>
      </w:r>
      <w:r>
        <w:rPr>
          <w:rFonts w:ascii="Sylfaen" w:hAnsi="Sylfaen" w:cs="Sylfaen"/>
          <w:sz w:val="24"/>
          <w:szCs w:val="24"/>
        </w:rPr>
        <w:t>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ლიკვიდატორი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გამოსაქვეყნებლად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ამონაწერში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მოუკითხავი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</w:t>
      </w:r>
      <w:r>
        <w:rPr>
          <w:rFonts w:ascii="Sylfaen" w:hAnsi="Sylfaen" w:cs="Sylfaen"/>
          <w:sz w:val="24"/>
          <w:szCs w:val="24"/>
        </w:rPr>
        <w:t>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მოუკითხავ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მესაკუთრის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მოგირავნეს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</w:t>
      </w:r>
      <w:r>
        <w:rPr>
          <w:rFonts w:ascii="Sylfaen" w:hAnsi="Sylfaen" w:cs="Sylfaen"/>
          <w:sz w:val="24"/>
          <w:szCs w:val="24"/>
        </w:rPr>
        <w:t>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უპირატესი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დაკმაყოფილების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დაკმაყოფილდება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თანახმად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გირაოს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</w:t>
      </w:r>
      <w:r>
        <w:rPr>
          <w:rFonts w:ascii="Sylfaen" w:hAnsi="Sylfaen" w:cs="Sylfaen"/>
          <w:sz w:val="24"/>
          <w:szCs w:val="24"/>
        </w:rPr>
        <w:t>მაყოფილდეს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თანამიმდევრობით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კრედიტორები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1500 </w:t>
      </w:r>
      <w:r>
        <w:rPr>
          <w:rFonts w:ascii="Sylfaen" w:hAnsi="Sylfaen" w:cs="Sylfaen"/>
          <w:sz w:val="24"/>
          <w:szCs w:val="24"/>
        </w:rPr>
        <w:t>ლარისა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საბიუჯეტო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დავალიანებები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საგადასახადო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გირავნობით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„10.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გადაირიცხოს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გახსნილ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მოუკითხავი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დაზუსტებული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სააგენტოს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არაფულადი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მატერიალური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ლიკვიდირებული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დასაკმაყოფილებლად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</w:rPr>
        <w:t xml:space="preserve"> (10.03.2017 N 440)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 </w:t>
      </w:r>
      <w:r>
        <w:rPr>
          <w:rFonts w:ascii="Sylfaen" w:hAnsi="Sylfaen" w:cs="Sylfaen"/>
          <w:sz w:val="24"/>
          <w:szCs w:val="24"/>
        </w:rPr>
        <w:t>სექტემბერი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N4189-I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574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PG_Ingiri_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7489A"/>
    <w:rsid w:val="005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300" w:after="150" w:line="240" w:lineRule="auto"/>
      <w:outlineLvl w:val="0"/>
    </w:pPr>
    <w:rPr>
      <w:rFonts w:ascii="inherit" w:hAnsi="inherit" w:cs="inherit"/>
      <w:sz w:val="54"/>
      <w:szCs w:val="5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debar-content-header">
    <w:name w:val="sidebar-content-header"/>
    <w:basedOn w:val="Normal"/>
    <w:uiPriority w:val="99"/>
    <w:pPr>
      <w:pBdr>
        <w:bottom w:val="single" w:sz="6" w:space="0" w:color="auto"/>
      </w:pBdr>
      <w:spacing w:after="0" w:line="480" w:lineRule="auto"/>
    </w:pPr>
    <w:rPr>
      <w:rFonts w:ascii="Times New Roman" w:hAnsi="Times New Roman" w:cs="Times New Roman"/>
      <w:sz w:val="21"/>
      <w:szCs w:val="21"/>
      <w:shd w:val="clear" w:color="auto" w:fill="F0F0F0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muted">
    <w:name w:val="muted"/>
    <w:basedOn w:val="Normal"/>
    <w:uiPriority w:val="99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Char2">
    <w:name w:val="Char Char2"/>
    <w:basedOn w:val="DefaultParagraphFont"/>
    <w:uiPriority w:val="99"/>
    <w:rPr>
      <w:rFonts w:ascii="inherit" w:hAnsi="inherit" w:cs="inherit"/>
      <w:sz w:val="54"/>
      <w:szCs w:val="54"/>
    </w:rPr>
  </w:style>
  <w:style w:type="character" w:styleId="Hyperlink">
    <w:name w:val="Hyperlink"/>
    <w:basedOn w:val="DefaultParagraphFont"/>
    <w:uiPriority w:val="99"/>
    <w:rPr>
      <w:color w:val="428BCA"/>
    </w:rPr>
  </w:style>
  <w:style w:type="character" w:customStyle="1" w:styleId="contact-number">
    <w:name w:val="contact-number"/>
    <w:basedOn w:val="DefaultParagraphFont"/>
    <w:uiPriority w:val="99"/>
  </w:style>
  <w:style w:type="character" w:customStyle="1" w:styleId="selectboxit-container3">
    <w:name w:val="selectboxit-container3"/>
    <w:basedOn w:val="DefaultParagraphFont"/>
    <w:uiPriority w:val="99"/>
    <w:rPr>
      <w:rFonts w:ascii="BPG_Ingiri_Arial" w:hAnsi="BPG_Ingiri_Arial" w:cs="BPG_Ingiri_Arial"/>
      <w:sz w:val="21"/>
      <w:szCs w:val="21"/>
    </w:rPr>
  </w:style>
  <w:style w:type="character" w:customStyle="1" w:styleId="selectboxit-text2">
    <w:name w:val="selectboxit-text2"/>
    <w:basedOn w:val="DefaultParagraphFont"/>
    <w:uiPriority w:val="99"/>
    <w:rPr>
      <w:sz w:val="21"/>
      <w:szCs w:val="21"/>
    </w:rPr>
  </w:style>
  <w:style w:type="character" w:customStyle="1" w:styleId="CharChar1">
    <w:name w:val="Char Char1"/>
    <w:basedOn w:val="DefaultParagraphFont"/>
    <w:uiPriority w:val="99"/>
    <w:rPr>
      <w:rFonts w:ascii="Arial" w:hAnsi="Arial" w:cs="Arial"/>
      <w:sz w:val="16"/>
      <w:szCs w:val="16"/>
    </w:rPr>
  </w:style>
  <w:style w:type="character" w:customStyle="1" w:styleId="CharChar">
    <w:name w:val="Char Char"/>
    <w:basedOn w:val="DefaultParagraphFont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5059</Words>
  <Characters>28837</Characters>
  <Application>Microsoft Office Word</Application>
  <DocSecurity>0</DocSecurity>
  <Lines>240</Lines>
  <Paragraphs>67</Paragraphs>
  <ScaleCrop>false</ScaleCrop>
  <Company/>
  <LinksUpToDate>false</LinksUpToDate>
  <CharactersWithSpaces>33829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