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შეტანილია</w:t>
      </w:r>
      <w:r>
        <w:rPr>
          <w:rFonts w:ascii="Sylfaen" w:hAnsi="Sylfaen" w:cs="Sylfaen"/>
          <w:sz w:val="24"/>
          <w:szCs w:val="24"/>
          <w:u w:val="single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ცვლილებები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საქართველოს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03/10/2017 N 437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ორგანული</w:t>
      </w:r>
      <w:r>
        <w:rPr>
          <w:rFonts w:ascii="Sylfaen" w:hAnsi="Sylfaen" w:cs="Sylfaen"/>
          <w:sz w:val="24"/>
          <w:szCs w:val="24"/>
          <w:u w:val="single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კანონით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10/09/2015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220010000.04.001.016149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ეროვნული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ბანკის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</w:t>
      </w:r>
      <w:r>
        <w:rPr>
          <w:rFonts w:ascii="Sylfaen" w:hAnsi="Sylfaen" w:cs="Sylfaen"/>
          <w:b/>
          <w:bCs/>
          <w:sz w:val="32"/>
          <w:szCs w:val="32"/>
        </w:rPr>
        <w:t>აობაზე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№29, 12.10.2009,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159)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</w:t>
      </w:r>
      <w:r>
        <w:rPr>
          <w:rFonts w:ascii="Sylfaen" w:hAnsi="Sylfaen" w:cs="Sylfaen"/>
          <w:sz w:val="24"/>
          <w:szCs w:val="24"/>
        </w:rPr>
        <w:t>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;“;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მიჩნეულია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მოიზიდავს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>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სტაბილურობისა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საგანგებოდ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;“;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ძ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</w:t>
      </w:r>
      <w:r>
        <w:rPr>
          <w:rFonts w:ascii="Sylfaen" w:hAnsi="Sylfaen" w:cs="Sylfaen"/>
          <w:sz w:val="24"/>
          <w:szCs w:val="24"/>
        </w:rPr>
        <w:t>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ძ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სისტემატიზაცია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გაუწიოს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შესრულებისთვის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„1.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თათბირებზე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ეროვნული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ცენტრალიზებული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სააგენტოსი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ფუნქციონირებისა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ეროვნული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წევრის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წევრის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დამატებითი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სარგოს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ოდენობის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განსაზღვრა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ხელფასზე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სავალუტო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ემისიისა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</w:t>
      </w:r>
      <w:r>
        <w:rPr>
          <w:rFonts w:ascii="Sylfaen" w:hAnsi="Sylfaen" w:cs="Sylfaen"/>
          <w:sz w:val="24"/>
          <w:szCs w:val="24"/>
        </w:rPr>
        <w:t>ბი</w:t>
      </w:r>
      <w:r>
        <w:rPr>
          <w:rFonts w:ascii="Sylfaen" w:hAnsi="Sylfaen" w:cs="Sylfaen"/>
          <w:sz w:val="24"/>
          <w:szCs w:val="24"/>
        </w:rPr>
        <w:t xml:space="preserve">;“;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18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შიდააუდიტორული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სამსახური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ინიშნება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მოხსენების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წარსადგენად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საბუღალტრო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შტატგარეშე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კონფიდენციალურ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გათქვას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გაავრცელოს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მონეტარული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გონივრული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კონფიდენციალურად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</w:t>
      </w:r>
      <w:r>
        <w:rPr>
          <w:rFonts w:ascii="Sylfaen" w:hAnsi="Sylfaen" w:cs="Sylfaen"/>
          <w:sz w:val="24"/>
          <w:szCs w:val="24"/>
        </w:rPr>
        <w:t>დეს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სტაბი</w:t>
      </w:r>
      <w:r>
        <w:rPr>
          <w:rFonts w:ascii="Sylfaen" w:hAnsi="Sylfaen" w:cs="Sylfaen"/>
          <w:sz w:val="24"/>
          <w:szCs w:val="24"/>
        </w:rPr>
        <w:t>ლურობის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გონივრული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კონფიდენციალურად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გაცვლისა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ვიცე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</w:t>
      </w:r>
      <w:r>
        <w:rPr>
          <w:rFonts w:ascii="Sylfaen" w:hAnsi="Sylfaen" w:cs="Sylfaen"/>
          <w:sz w:val="24"/>
          <w:szCs w:val="24"/>
        </w:rPr>
        <w:t>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</w:t>
      </w:r>
      <w:r>
        <w:rPr>
          <w:rFonts w:ascii="Sylfaen" w:hAnsi="Sylfaen" w:cs="Sylfaen"/>
          <w:sz w:val="24"/>
          <w:szCs w:val="24"/>
        </w:rPr>
        <w:t>დველობისა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თანამშრომელია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ნათესავი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პროცენტზე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ნათესავია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სიკეთე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შეღავათი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ახლონათესაური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სასესხო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ჯამში</w:t>
      </w:r>
      <w:r>
        <w:rPr>
          <w:rFonts w:ascii="Sylfaen" w:hAnsi="Sylfaen" w:cs="Sylfaen"/>
          <w:sz w:val="24"/>
          <w:szCs w:val="24"/>
        </w:rPr>
        <w:t xml:space="preserve"> 10 000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13. 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29. </w:t>
      </w:r>
      <w:r>
        <w:rPr>
          <w:rFonts w:ascii="Sylfaen" w:hAnsi="Sylfaen" w:cs="Sylfaen"/>
          <w:b/>
          <w:bCs/>
          <w:sz w:val="24"/>
          <w:szCs w:val="24"/>
        </w:rPr>
        <w:t>მინიმალური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სარეზერვო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მოთხოვნები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</w:t>
      </w:r>
      <w:r>
        <w:rPr>
          <w:rFonts w:ascii="Sylfaen" w:hAnsi="Sylfaen" w:cs="Sylfaen"/>
          <w:sz w:val="24"/>
          <w:szCs w:val="24"/>
        </w:rPr>
        <w:t>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დააწესოს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მოზიდულ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თანაფარდობით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</w:t>
      </w:r>
      <w:r>
        <w:rPr>
          <w:rFonts w:ascii="Sylfaen" w:hAnsi="Sylfaen" w:cs="Sylfaen"/>
          <w:sz w:val="24"/>
          <w:szCs w:val="24"/>
        </w:rPr>
        <w:t>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დაექვემდებაროს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მინი</w:t>
      </w:r>
      <w:r>
        <w:rPr>
          <w:rFonts w:ascii="Sylfaen" w:hAnsi="Sylfaen" w:cs="Sylfaen"/>
          <w:sz w:val="24"/>
          <w:szCs w:val="24"/>
        </w:rPr>
        <w:t>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</w:t>
      </w:r>
      <w:r>
        <w:rPr>
          <w:rFonts w:ascii="Sylfaen" w:hAnsi="Sylfaen" w:cs="Sylfaen"/>
          <w:sz w:val="24"/>
          <w:szCs w:val="24"/>
        </w:rPr>
        <w:t>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29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მინიმალური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სარეზერვო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მოთხოვნების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დამდგენი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კომიტეტი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წევრისაგან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</w:t>
      </w:r>
      <w:r>
        <w:rPr>
          <w:rFonts w:ascii="Sylfaen" w:hAnsi="Sylfaen" w:cs="Sylfaen"/>
          <w:sz w:val="24"/>
          <w:szCs w:val="24"/>
        </w:rPr>
        <w:t>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იყვნენ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ვიცე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პრეზიდე</w:t>
      </w:r>
      <w:r>
        <w:rPr>
          <w:rFonts w:ascii="Sylfaen" w:hAnsi="Sylfaen" w:cs="Sylfaen"/>
          <w:sz w:val="24"/>
          <w:szCs w:val="24"/>
        </w:rPr>
        <w:t>ნტები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</w:t>
      </w:r>
      <w:r>
        <w:rPr>
          <w:rFonts w:ascii="Sylfaen" w:hAnsi="Sylfaen" w:cs="Sylfaen"/>
          <w:sz w:val="24"/>
          <w:szCs w:val="24"/>
        </w:rPr>
        <w:t>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დაუჭერს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ნახევრისა</w:t>
      </w:r>
      <w:r>
        <w:rPr>
          <w:rFonts w:ascii="Sylfaen" w:hAnsi="Sylfaen" w:cs="Sylfaen"/>
          <w:sz w:val="24"/>
          <w:szCs w:val="24"/>
        </w:rPr>
        <w:t xml:space="preserve"> – 3 </w:t>
      </w:r>
      <w:r>
        <w:rPr>
          <w:rFonts w:ascii="Sylfaen" w:hAnsi="Sylfaen" w:cs="Sylfaen"/>
          <w:sz w:val="24"/>
          <w:szCs w:val="24"/>
        </w:rPr>
        <w:t>წევრისა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გადამწყვეტია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ტებს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გადახდისუნარიანობას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</w:t>
      </w:r>
      <w:r>
        <w:rPr>
          <w:rFonts w:ascii="Sylfaen" w:hAnsi="Sylfaen" w:cs="Sylfaen"/>
          <w:sz w:val="24"/>
          <w:szCs w:val="24"/>
        </w:rPr>
        <w:t>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გადახდისუნარიანობის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გადახდისუნარიანობის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ეზღუდება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16.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45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ეროვნული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ბანკისათვის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სააგენტოსათვის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მისაწოდებელი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ინფორმაცია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სტატისტიკური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საბუ</w:t>
      </w:r>
      <w:r>
        <w:rPr>
          <w:rFonts w:ascii="Sylfaen" w:hAnsi="Sylfaen" w:cs="Sylfaen"/>
          <w:sz w:val="24"/>
          <w:szCs w:val="24"/>
        </w:rPr>
        <w:t>ღალტრო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კონფიდენციალური</w:t>
      </w:r>
      <w:r>
        <w:rPr>
          <w:rFonts w:ascii="Sylfaen" w:hAnsi="Sylfaen" w:cs="Sylfaen"/>
          <w:sz w:val="24"/>
          <w:szCs w:val="24"/>
        </w:rPr>
        <w:t xml:space="preserve">).“.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47-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47. </w:t>
      </w:r>
      <w:r>
        <w:rPr>
          <w:rFonts w:ascii="Sylfaen" w:hAnsi="Sylfaen" w:cs="Sylfaen"/>
          <w:b/>
          <w:bCs/>
          <w:sz w:val="24"/>
          <w:szCs w:val="24"/>
        </w:rPr>
        <w:t>ეროვნული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ამოცანები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ფუნქციები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საფინანსო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სექტორის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ზედამხედველობის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კუთხით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ამოცანაა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მომხმარებელთა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ინვესტორთა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აკონტროლებს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ამცირებს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პოტენციურ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სტაბილურ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</w:t>
      </w:r>
      <w:r>
        <w:rPr>
          <w:rFonts w:ascii="Sylfaen" w:hAnsi="Sylfaen" w:cs="Sylfaen"/>
          <w:sz w:val="24"/>
          <w:szCs w:val="24"/>
        </w:rPr>
        <w:t>კი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სტაბილურ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ფუნქციონირებას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18.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47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–47</w:t>
      </w:r>
      <w:r>
        <w:rPr>
          <w:rFonts w:ascii="Sylfaen" w:hAnsi="Sylfaen" w:cs="Sylfaen"/>
          <w:position w:val="6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47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სააგენტო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</w:t>
      </w:r>
      <w:r>
        <w:rPr>
          <w:rFonts w:ascii="Sylfaen" w:hAnsi="Sylfaen" w:cs="Sylfaen"/>
          <w:sz w:val="24"/>
          <w:szCs w:val="24"/>
        </w:rPr>
        <w:t>გენტო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</w:t>
      </w:r>
      <w:r>
        <w:rPr>
          <w:rFonts w:ascii="Sylfaen" w:hAnsi="Sylfaen" w:cs="Sylfaen"/>
          <w:sz w:val="24"/>
          <w:szCs w:val="24"/>
        </w:rPr>
        <w:t>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ბალანსი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ბეჭედი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გერბის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გამოსახულებითა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განკარგავს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ანგარიშვალდ</w:t>
      </w:r>
      <w:r>
        <w:rPr>
          <w:rFonts w:ascii="Sylfaen" w:hAnsi="Sylfaen" w:cs="Sylfaen"/>
          <w:sz w:val="24"/>
          <w:szCs w:val="24"/>
        </w:rPr>
        <w:t>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გამოვიდეს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მოსარჩელედ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მოპასუხედ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47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თანამშრომლობა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უცხო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ქვეყნის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შესაბამის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საზედამხედველო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ორგანოსთან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გაცვლას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კონფიდენციალურობას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47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3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</w:t>
      </w:r>
      <w:r>
        <w:rPr>
          <w:rFonts w:ascii="Sylfaen" w:hAnsi="Sylfaen" w:cs="Sylfaen"/>
          <w:sz w:val="24"/>
          <w:szCs w:val="24"/>
        </w:rPr>
        <w:t>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წევრისაგან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პატიოსანი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პროფესიონალი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გამოცდილი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შეივსოს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შესავსებად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ასარჩევად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>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ნაცვლად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</w:t>
      </w:r>
      <w:r>
        <w:rPr>
          <w:rFonts w:ascii="Sylfaen" w:hAnsi="Sylfaen" w:cs="Sylfaen"/>
          <w:sz w:val="24"/>
          <w:szCs w:val="24"/>
        </w:rPr>
        <w:t>ომიკა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სტაჟი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ხელმძღვანელ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სტაჟი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</w:t>
      </w:r>
      <w:r>
        <w:rPr>
          <w:rFonts w:ascii="Sylfaen" w:hAnsi="Sylfaen" w:cs="Sylfaen"/>
          <w:sz w:val="24"/>
          <w:szCs w:val="24"/>
        </w:rPr>
        <w:t>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მიაყენა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შელახა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</w:t>
      </w:r>
      <w:r>
        <w:rPr>
          <w:rFonts w:ascii="Sylfaen" w:hAnsi="Sylfaen" w:cs="Sylfaen"/>
          <w:sz w:val="24"/>
          <w:szCs w:val="24"/>
        </w:rPr>
        <w:t>ზიტორთა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გადახდისუუნარობა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გაკოტრება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</w:t>
      </w:r>
      <w:r>
        <w:rPr>
          <w:rFonts w:ascii="Sylfaen" w:hAnsi="Sylfaen" w:cs="Sylfaen"/>
          <w:sz w:val="24"/>
          <w:szCs w:val="24"/>
        </w:rPr>
        <w:t>ატორი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გადახდისუუნარო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გამოცხადებულია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გაკოტრებულად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ნასამართლევია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ტერორიზმის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ლეგ</w:t>
      </w:r>
      <w:r>
        <w:rPr>
          <w:rFonts w:ascii="Sylfaen" w:hAnsi="Sylfaen" w:cs="Sylfaen"/>
          <w:sz w:val="24"/>
          <w:szCs w:val="24"/>
        </w:rPr>
        <w:t>ალიზაციისათვის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დადასტურდეს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</w:t>
      </w:r>
      <w:r>
        <w:rPr>
          <w:rFonts w:ascii="Sylfaen" w:hAnsi="Sylfaen" w:cs="Sylfaen"/>
          <w:sz w:val="24"/>
          <w:szCs w:val="24"/>
        </w:rPr>
        <w:t>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სააგ</w:t>
      </w:r>
      <w:r>
        <w:rPr>
          <w:rFonts w:ascii="Sylfaen" w:hAnsi="Sylfaen" w:cs="Sylfaen"/>
          <w:sz w:val="24"/>
          <w:szCs w:val="24"/>
        </w:rPr>
        <w:t>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უკვლოდ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დაიკავებს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გადადგომამდე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გადამდგარად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ანცხადებაში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თარიღიდან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გარდაიცვლება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</w:t>
      </w:r>
      <w:r>
        <w:rPr>
          <w:rFonts w:ascii="Sylfaen" w:hAnsi="Sylfaen" w:cs="Sylfaen"/>
          <w:sz w:val="24"/>
          <w:szCs w:val="24"/>
        </w:rPr>
        <w:t>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მეხუთედს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</w:t>
      </w:r>
      <w:r>
        <w:rPr>
          <w:rFonts w:ascii="Sylfaen" w:hAnsi="Sylfaen" w:cs="Sylfaen"/>
          <w:sz w:val="24"/>
          <w:szCs w:val="24"/>
        </w:rPr>
        <w:t>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17.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დაემთხვა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18.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19.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უნარჩუნდება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დაიკავებს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22. </w:t>
      </w:r>
      <w:r>
        <w:rPr>
          <w:rFonts w:ascii="Sylfaen" w:hAnsi="Sylfaen" w:cs="Sylfaen"/>
          <w:sz w:val="24"/>
          <w:szCs w:val="24"/>
        </w:rPr>
        <w:t>საა</w:t>
      </w:r>
      <w:r>
        <w:rPr>
          <w:rFonts w:ascii="Sylfaen" w:hAnsi="Sylfaen" w:cs="Sylfaen"/>
          <w:sz w:val="24"/>
          <w:szCs w:val="24"/>
        </w:rPr>
        <w:t>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სტრუქტურასთან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ანგარიშვალდებულებასთან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47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4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უფროსი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</w:t>
      </w:r>
      <w:r>
        <w:rPr>
          <w:rFonts w:ascii="Sylfaen" w:hAnsi="Sylfaen" w:cs="Sylfaen"/>
          <w:sz w:val="24"/>
          <w:szCs w:val="24"/>
        </w:rPr>
        <w:t>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პატიოსანი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პროფესიონალი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გამოცდილი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აუდიტი</w:t>
      </w:r>
      <w:r>
        <w:rPr>
          <w:rFonts w:ascii="Sylfaen" w:hAnsi="Sylfaen" w:cs="Sylfaen"/>
          <w:sz w:val="24"/>
          <w:szCs w:val="24"/>
        </w:rPr>
        <w:t xml:space="preserve">.  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473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გათავისუფლდება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</w:t>
      </w:r>
      <w:r>
        <w:rPr>
          <w:rFonts w:ascii="Sylfaen" w:hAnsi="Sylfaen" w:cs="Sylfaen"/>
          <w:sz w:val="24"/>
          <w:szCs w:val="24"/>
        </w:rPr>
        <w:t>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გადადგომამდე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გადამდგარად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თარიღიდან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</w:t>
      </w:r>
      <w:r>
        <w:rPr>
          <w:rFonts w:ascii="Sylfaen" w:hAnsi="Sylfaen" w:cs="Sylfaen"/>
          <w:sz w:val="24"/>
          <w:szCs w:val="24"/>
        </w:rPr>
        <w:t>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უკვლოდ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გარდაცვალებისას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არაჯეროვნად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არდგინებით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</w:t>
      </w:r>
      <w:r>
        <w:rPr>
          <w:rFonts w:ascii="Sylfaen" w:hAnsi="Sylfaen" w:cs="Sylfaen"/>
          <w:sz w:val="24"/>
          <w:szCs w:val="24"/>
        </w:rPr>
        <w:t>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</w:t>
      </w:r>
      <w:r>
        <w:rPr>
          <w:rFonts w:ascii="Sylfaen" w:hAnsi="Sylfaen" w:cs="Sylfaen"/>
          <w:sz w:val="24"/>
          <w:szCs w:val="24"/>
        </w:rPr>
        <w:t>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მოადგილეები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>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უფლებამოსილებებია</w:t>
      </w:r>
      <w:r>
        <w:rPr>
          <w:rFonts w:ascii="Sylfaen" w:hAnsi="Sylfaen" w:cs="Sylfaen"/>
          <w:sz w:val="24"/>
          <w:szCs w:val="24"/>
        </w:rPr>
        <w:t xml:space="preserve">:    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განკარგულების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(6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აბჭოსათვის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მოადგილეების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</w:t>
      </w:r>
      <w:r>
        <w:rPr>
          <w:rFonts w:ascii="Sylfaen" w:hAnsi="Sylfaen" w:cs="Sylfaen"/>
          <w:sz w:val="24"/>
          <w:szCs w:val="24"/>
        </w:rPr>
        <w:t>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სათათბირო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კომიტეტი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გასათვალისწინებლად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ასახავს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საბუთების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მიუღებლობის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</w:t>
      </w:r>
      <w:r>
        <w:rPr>
          <w:rFonts w:ascii="Sylfaen" w:hAnsi="Sylfaen" w:cs="Sylfaen"/>
          <w:sz w:val="24"/>
          <w:szCs w:val="24"/>
        </w:rPr>
        <w:t>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უნარჩუნდება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დაიკავებს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არაჯეროვნად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47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5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სხდომა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ნახევარზე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მათგან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გადამწყვეტია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გამოყენებითაც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</w:t>
      </w:r>
      <w:r>
        <w:rPr>
          <w:rFonts w:ascii="Sylfaen" w:hAnsi="Sylfaen" w:cs="Sylfaen"/>
          <w:b/>
          <w:bCs/>
          <w:sz w:val="24"/>
          <w:szCs w:val="24"/>
        </w:rPr>
        <w:t>ლი</w:t>
      </w:r>
      <w:r>
        <w:rPr>
          <w:rFonts w:ascii="Sylfaen" w:hAnsi="Sylfaen" w:cs="Sylfaen"/>
          <w:b/>
          <w:bCs/>
          <w:sz w:val="24"/>
          <w:szCs w:val="24"/>
        </w:rPr>
        <w:t xml:space="preserve"> 47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6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გადაწყვეტილების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გასაჩივრება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</w:t>
      </w:r>
      <w:r>
        <w:rPr>
          <w:rFonts w:ascii="Sylfaen" w:hAnsi="Sylfaen" w:cs="Sylfaen"/>
          <w:sz w:val="24"/>
          <w:szCs w:val="24"/>
        </w:rPr>
        <w:t>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47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7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საფინანსო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სექტორის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ზედამხედველობის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კომიტეტი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</w:t>
      </w:r>
      <w:r>
        <w:rPr>
          <w:rFonts w:ascii="Sylfaen" w:hAnsi="Sylfaen" w:cs="Sylfaen"/>
          <w:sz w:val="24"/>
          <w:szCs w:val="24"/>
        </w:rPr>
        <w:t>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</w:t>
      </w:r>
      <w:r>
        <w:rPr>
          <w:rFonts w:ascii="Sylfaen" w:hAnsi="Sylfaen" w:cs="Sylfaen"/>
          <w:sz w:val="24"/>
          <w:szCs w:val="24"/>
        </w:rPr>
        <w:t>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იყვნენ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გამოსაცემ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</w:t>
      </w:r>
      <w:r>
        <w:rPr>
          <w:rFonts w:ascii="Sylfaen" w:hAnsi="Sylfaen" w:cs="Sylfaen"/>
          <w:sz w:val="24"/>
          <w:szCs w:val="24"/>
        </w:rPr>
        <w:t>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გაითვალისწინოს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19. 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48. </w:t>
      </w:r>
      <w:r>
        <w:rPr>
          <w:rFonts w:ascii="Sylfaen" w:hAnsi="Sylfaen" w:cs="Sylfaen"/>
          <w:b/>
          <w:bCs/>
          <w:sz w:val="24"/>
          <w:szCs w:val="24"/>
        </w:rPr>
        <w:t>სააგენტოს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უფლებამოსილება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საფინანსო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სექტორის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ზედამხედველობის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კუთხით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გაუწიოს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</w:t>
      </w:r>
      <w:r>
        <w:rPr>
          <w:rFonts w:ascii="Sylfaen" w:hAnsi="Sylfaen" w:cs="Sylfaen"/>
          <w:sz w:val="24"/>
          <w:szCs w:val="24"/>
        </w:rPr>
        <w:t>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რეგისტრატორების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საბროკერო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სადაზღვევო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ბროკერებისა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საფონდო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ბირჟის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ცენტრალური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ანგარიშვალდებული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საინვესტიციო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პროვაიდერის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ეგალიზაციის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</w:t>
      </w:r>
      <w:r>
        <w:rPr>
          <w:rFonts w:ascii="Sylfaen" w:hAnsi="Sylfaen" w:cs="Sylfaen"/>
          <w:sz w:val="24"/>
          <w:szCs w:val="24"/>
        </w:rPr>
        <w:t>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ბრძანებები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დააწესოს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ლიცენზირებაზე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</w:t>
      </w:r>
      <w:r>
        <w:rPr>
          <w:rFonts w:ascii="Sylfaen" w:hAnsi="Sylfaen" w:cs="Sylfaen"/>
          <w:sz w:val="24"/>
          <w:szCs w:val="24"/>
        </w:rPr>
        <w:t>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სტაბილურობას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პი</w:t>
      </w:r>
      <w:r>
        <w:rPr>
          <w:rFonts w:ascii="Sylfaen" w:hAnsi="Sylfaen" w:cs="Sylfaen"/>
          <w:sz w:val="24"/>
          <w:szCs w:val="24"/>
        </w:rPr>
        <w:t>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</w:t>
      </w:r>
      <w:r>
        <w:rPr>
          <w:rFonts w:ascii="Sylfaen" w:hAnsi="Sylfaen" w:cs="Sylfaen"/>
          <w:sz w:val="24"/>
          <w:szCs w:val="24"/>
        </w:rPr>
        <w:t>გისტრაციამ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</w:t>
      </w:r>
      <w:r>
        <w:rPr>
          <w:rFonts w:ascii="Sylfaen" w:hAnsi="Sylfaen" w:cs="Sylfaen"/>
          <w:sz w:val="24"/>
          <w:szCs w:val="24"/>
        </w:rPr>
        <w:t>ულყოფილი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დასაწყებად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</w:t>
      </w:r>
      <w:r>
        <w:rPr>
          <w:rFonts w:ascii="Sylfaen" w:hAnsi="Sylfaen" w:cs="Sylfaen"/>
          <w:sz w:val="24"/>
          <w:szCs w:val="24"/>
        </w:rPr>
        <w:t>მომავლობის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48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ნფორმაცია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კონფიდენციალური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ლეგალიზაციის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ითანამშრომლოს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სამართალდამცავ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ორგანოებთან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გამოგზავნილი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>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ხერხდება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</w:t>
      </w:r>
      <w:r>
        <w:rPr>
          <w:rFonts w:ascii="Sylfaen" w:hAnsi="Sylfaen" w:cs="Sylfaen"/>
          <w:sz w:val="24"/>
          <w:szCs w:val="24"/>
        </w:rPr>
        <w:t>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48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კვალიფიციური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საკრედიტო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ინსტიტუტის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მოიზიდავს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ოთხასზე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ხუთ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მილიონ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გაიაროს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</w:t>
      </w:r>
      <w:r>
        <w:rPr>
          <w:rFonts w:ascii="Sylfaen" w:hAnsi="Sylfaen" w:cs="Sylfaen"/>
          <w:sz w:val="24"/>
          <w:szCs w:val="24"/>
        </w:rPr>
        <w:t>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დააკმაყოფილოს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მოიზ</w:t>
      </w:r>
      <w:r>
        <w:rPr>
          <w:rFonts w:ascii="Sylfaen" w:hAnsi="Sylfaen" w:cs="Sylfaen"/>
          <w:sz w:val="24"/>
          <w:szCs w:val="24"/>
        </w:rPr>
        <w:t>იდავს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ოთხასზე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გაიაროს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დააკმაყოფილოს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მოზიდული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სეგმენტი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</w:t>
      </w:r>
      <w:r>
        <w:rPr>
          <w:rFonts w:ascii="Sylfaen" w:hAnsi="Sylfaen" w:cs="Sylfaen"/>
          <w:sz w:val="24"/>
          <w:szCs w:val="24"/>
        </w:rPr>
        <w:t>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მიჩნეულია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კლიენტთა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მეტყველებს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გაფართოების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რომლებისგანაც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მოზიდვა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</w:t>
      </w:r>
      <w:r>
        <w:rPr>
          <w:rFonts w:ascii="Sylfaen" w:hAnsi="Sylfaen" w:cs="Sylfaen"/>
          <w:sz w:val="24"/>
          <w:szCs w:val="24"/>
        </w:rPr>
        <w:t>იფიციური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შესაფერისობის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გამჟღავნების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ლიკვიდობის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შემოწმებას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სტაბილურობას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ოზიდვასთან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დაკისრებას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შესაფერისობის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ლიკვიდობის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</w:t>
      </w:r>
      <w:r>
        <w:rPr>
          <w:rFonts w:ascii="Sylfaen" w:hAnsi="Sylfaen" w:cs="Sylfaen"/>
          <w:sz w:val="24"/>
          <w:szCs w:val="24"/>
        </w:rPr>
        <w:t>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48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საგადახდო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სისტემის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ოპერ</w:t>
      </w:r>
      <w:r>
        <w:rPr>
          <w:rFonts w:ascii="Sylfaen" w:hAnsi="Sylfaen" w:cs="Sylfaen"/>
          <w:b/>
          <w:bCs/>
          <w:sz w:val="24"/>
          <w:szCs w:val="24"/>
        </w:rPr>
        <w:t>ატორისა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საგადახდო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მომსახურების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პროვაიდერის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რეგისტრაცია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ზედამხედველობა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ოპერატორსა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პროვაიდერს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პროვაიდერის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გამოსაყენებელი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</w:t>
      </w:r>
      <w:r>
        <w:rPr>
          <w:rFonts w:ascii="Sylfaen" w:hAnsi="Sylfaen" w:cs="Sylfaen"/>
          <w:sz w:val="24"/>
          <w:szCs w:val="24"/>
        </w:rPr>
        <w:t>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პროვაიდერის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პროვაიდერს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49. </w:t>
      </w:r>
      <w:r>
        <w:rPr>
          <w:rFonts w:ascii="Sylfaen" w:hAnsi="Sylfaen" w:cs="Sylfaen"/>
          <w:b/>
          <w:bCs/>
          <w:sz w:val="24"/>
          <w:szCs w:val="24"/>
        </w:rPr>
        <w:t>კომერციული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არასაბანკო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სადეპოზიტო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დაწესებულების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ზედამხედველობა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გაუწიოს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შემოწმებასა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</w:t>
      </w:r>
      <w:r>
        <w:rPr>
          <w:rFonts w:ascii="Sylfaen" w:hAnsi="Sylfaen" w:cs="Sylfaen"/>
          <w:sz w:val="24"/>
          <w:szCs w:val="24"/>
        </w:rPr>
        <w:t>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გაუწიოს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შეამოწმოს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შეამოწმოს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კომპონენტებისა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</w:t>
      </w:r>
      <w:r>
        <w:rPr>
          <w:rFonts w:ascii="Sylfaen" w:hAnsi="Sylfaen" w:cs="Sylfaen"/>
          <w:sz w:val="24"/>
          <w:szCs w:val="24"/>
        </w:rPr>
        <w:t>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გაუზარდოს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შეუწყვიტოს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აუკრძალოს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დივიდენდების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პრემიებისა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მსგავსი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გაუზარდოს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დანაკარგების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დააკისროს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გადაახდევინოს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</w:t>
      </w:r>
      <w:r>
        <w:rPr>
          <w:rFonts w:ascii="Sylfaen" w:hAnsi="Sylfaen" w:cs="Sylfaen"/>
          <w:sz w:val="24"/>
          <w:szCs w:val="24"/>
        </w:rPr>
        <w:t>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გარკვ</w:t>
      </w:r>
      <w:r>
        <w:rPr>
          <w:rFonts w:ascii="Sylfaen" w:hAnsi="Sylfaen" w:cs="Sylfaen"/>
          <w:sz w:val="24"/>
          <w:szCs w:val="24"/>
        </w:rPr>
        <w:t>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გაათავისუფლოს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დაცვისაგან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წარმართავს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გადახდისუუნარო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დაუწესოს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დასვენების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დღეებად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დაუწესოს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გაათავისუფლოს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კომერცი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ლიკვიდატორსა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აქციონერთა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გადახდისუუნაროდ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გაკოტრებულად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50. </w:t>
      </w:r>
      <w:r>
        <w:rPr>
          <w:rFonts w:ascii="Sylfaen" w:hAnsi="Sylfaen" w:cs="Sylfaen"/>
          <w:b/>
          <w:bCs/>
          <w:sz w:val="24"/>
          <w:szCs w:val="24"/>
        </w:rPr>
        <w:t>მიკროსაფინანსო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ფულადი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გზავნილების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განმახორციელებელი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ვალუტის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გადამცვლელი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პუნქტის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ზედამხედველობა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შემოწ</w:t>
      </w:r>
      <w:r>
        <w:rPr>
          <w:rFonts w:ascii="Sylfaen" w:hAnsi="Sylfaen" w:cs="Sylfaen"/>
          <w:sz w:val="24"/>
          <w:szCs w:val="24"/>
        </w:rPr>
        <w:t>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გადამცვლელ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აღსაკვეთად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ლეგალიზაციის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</w:t>
      </w:r>
      <w:r>
        <w:rPr>
          <w:rFonts w:ascii="Sylfaen" w:hAnsi="Sylfaen" w:cs="Sylfaen"/>
          <w:sz w:val="24"/>
          <w:szCs w:val="24"/>
        </w:rPr>
        <w:t>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</w:t>
      </w:r>
      <w:r>
        <w:rPr>
          <w:rFonts w:ascii="Sylfaen" w:hAnsi="Sylfaen" w:cs="Sylfaen"/>
          <w:sz w:val="24"/>
          <w:szCs w:val="24"/>
        </w:rPr>
        <w:t>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სტატისტიკური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20. 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52. </w:t>
      </w:r>
      <w:r>
        <w:rPr>
          <w:rFonts w:ascii="Sylfaen" w:hAnsi="Sylfaen" w:cs="Sylfaen"/>
          <w:b/>
          <w:bCs/>
          <w:sz w:val="24"/>
          <w:szCs w:val="24"/>
        </w:rPr>
        <w:t>ფასიანი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ქაღალდების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ბაზრის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ზედამხედვე</w:t>
      </w:r>
      <w:r>
        <w:rPr>
          <w:rFonts w:ascii="Sylfaen" w:hAnsi="Sylfaen" w:cs="Sylfaen"/>
          <w:b/>
          <w:bCs/>
          <w:sz w:val="24"/>
          <w:szCs w:val="24"/>
        </w:rPr>
        <w:t>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დაარეგულიროს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ემიტენტების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გამოშვებისას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მიმოქცევისას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გამოშვებისა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დაუწესოს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პროსპექტი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შემოწმება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გამოკვლევა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შეცვალოს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გაუწიოს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დაუწესოს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21. 5</w:t>
      </w:r>
      <w:r>
        <w:rPr>
          <w:rFonts w:ascii="Sylfaen" w:hAnsi="Sylfaen" w:cs="Sylfaen"/>
          <w:sz w:val="24"/>
          <w:szCs w:val="24"/>
        </w:rPr>
        <w:t>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ფირმა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აუდიტსაც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</w:t>
      </w:r>
      <w:r>
        <w:rPr>
          <w:rFonts w:ascii="Sylfaen" w:hAnsi="Sylfaen" w:cs="Sylfaen"/>
          <w:sz w:val="24"/>
          <w:szCs w:val="24"/>
        </w:rPr>
        <w:t>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22. 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დამთავრებიდან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</w:t>
      </w:r>
      <w:r>
        <w:rPr>
          <w:rFonts w:ascii="Sylfaen" w:hAnsi="Sylfaen" w:cs="Sylfaen"/>
          <w:sz w:val="24"/>
          <w:szCs w:val="24"/>
        </w:rPr>
        <w:t>იანეს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სავალუტო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>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გამოაქვეყნოს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მიზანშეწონილად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23. 67-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რეგლამენტირების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დირექტივ</w:t>
      </w:r>
      <w:r>
        <w:rPr>
          <w:rFonts w:ascii="Sylfaen" w:hAnsi="Sylfaen" w:cs="Sylfaen"/>
          <w:sz w:val="24"/>
          <w:szCs w:val="24"/>
        </w:rPr>
        <w:t>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</w:t>
      </w:r>
      <w:r>
        <w:rPr>
          <w:rFonts w:ascii="Sylfaen" w:hAnsi="Sylfaen" w:cs="Sylfaen"/>
          <w:sz w:val="24"/>
          <w:szCs w:val="24"/>
        </w:rPr>
        <w:t>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3.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</w:t>
      </w:r>
      <w:r>
        <w:rPr>
          <w:rFonts w:ascii="Sylfaen" w:hAnsi="Sylfaen" w:cs="Sylfaen"/>
          <w:sz w:val="24"/>
          <w:szCs w:val="24"/>
        </w:rPr>
        <w:t>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საარქივო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გაგზავნოს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ოკუმენტბრუნვის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ამონაბეჭდს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24. 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>ნკისათვის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თანასწორუფლებიანობისა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მიუკერძოებლობის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მისაღწევად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მისაღწევად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მიუკერძოებლობის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რაციონალური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სრულდებოდეს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ემსახურებოდეს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6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უმოქმედობისათვის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შეიკავეს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კეთილსინდისიერად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შტატგარეშე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</w:t>
      </w:r>
      <w:r>
        <w:rPr>
          <w:rFonts w:ascii="Sylfaen" w:hAnsi="Sylfaen" w:cs="Sylfaen"/>
          <w:sz w:val="24"/>
          <w:szCs w:val="24"/>
        </w:rPr>
        <w:t>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</w:t>
      </w:r>
      <w:r>
        <w:rPr>
          <w:rFonts w:ascii="Sylfaen" w:hAnsi="Sylfaen" w:cs="Sylfaen"/>
          <w:sz w:val="24"/>
          <w:szCs w:val="24"/>
        </w:rPr>
        <w:t>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(10.03.2017 N 437)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</w:t>
      </w:r>
      <w:r>
        <w:rPr>
          <w:rFonts w:ascii="Sylfaen" w:hAnsi="Sylfaen" w:cs="Sylfaen"/>
          <w:sz w:val="24"/>
          <w:szCs w:val="24"/>
        </w:rPr>
        <w:t>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 </w:t>
      </w:r>
      <w:r>
        <w:rPr>
          <w:rFonts w:ascii="Sylfaen" w:hAnsi="Sylfaen" w:cs="Sylfaen"/>
          <w:sz w:val="24"/>
          <w:szCs w:val="24"/>
        </w:rPr>
        <w:t>სექტემბერი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N4188-I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51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_Ingiri_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14AA"/>
    <w:rsid w:val="0065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300" w:after="150" w:line="240" w:lineRule="auto"/>
      <w:outlineLvl w:val="0"/>
    </w:pPr>
    <w:rPr>
      <w:rFonts w:ascii="inherit" w:hAnsi="inherit" w:cs="inherit"/>
      <w:sz w:val="54"/>
      <w:szCs w:val="5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inherit" w:hAnsi="inherit" w:cs="inherit"/>
      <w:sz w:val="54"/>
      <w:szCs w:val="54"/>
    </w:rPr>
  </w:style>
  <w:style w:type="paragraph" w:styleId="NormalWeb">
    <w:name w:val="Normal (Web)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debar-content-header">
    <w:name w:val="sidebar-content-header"/>
    <w:basedOn w:val="Normal"/>
    <w:uiPriority w:val="99"/>
    <w:pPr>
      <w:pBdr>
        <w:bottom w:val="single" w:sz="6" w:space="0" w:color="auto"/>
      </w:pBdr>
      <w:spacing w:after="0" w:line="480" w:lineRule="auto"/>
    </w:pPr>
    <w:rPr>
      <w:rFonts w:ascii="Times New Roman" w:hAnsi="Times New Roman" w:cs="Times New Roman"/>
      <w:sz w:val="21"/>
      <w:szCs w:val="21"/>
      <w:shd w:val="clear" w:color="auto" w:fill="F0F0F0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sz w:val="16"/>
      <w:szCs w:val="16"/>
    </w:rPr>
  </w:style>
  <w:style w:type="paragraph" w:customStyle="1" w:styleId="muted">
    <w:name w:val="muted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428BCA"/>
    </w:rPr>
  </w:style>
  <w:style w:type="character" w:customStyle="1" w:styleId="contact-number">
    <w:name w:val="contact-number"/>
    <w:basedOn w:val="DefaultParagraphFont"/>
    <w:uiPriority w:val="99"/>
  </w:style>
  <w:style w:type="character" w:customStyle="1" w:styleId="selectboxit-container3">
    <w:name w:val="selectboxit-container3"/>
    <w:basedOn w:val="DefaultParagraphFont"/>
    <w:uiPriority w:val="99"/>
    <w:rPr>
      <w:rFonts w:ascii="BPG_Ingiri_Arial" w:hAnsi="BPG_Ingiri_Arial" w:cs="BPG_Ingiri_Arial"/>
      <w:sz w:val="21"/>
      <w:szCs w:val="21"/>
    </w:rPr>
  </w:style>
  <w:style w:type="character" w:customStyle="1" w:styleId="selectboxit-text2">
    <w:name w:val="selectboxit-text2"/>
    <w:basedOn w:val="DefaultParagraphFont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7510</Words>
  <Characters>42813</Characters>
  <Application>Microsoft Office Word</Application>
  <DocSecurity>0</DocSecurity>
  <Lines>356</Lines>
  <Paragraphs>100</Paragraphs>
  <ScaleCrop>false</ScaleCrop>
  <Company/>
  <LinksUpToDate>false</LinksUpToDate>
  <CharactersWithSpaces>50223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