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409A" w14:textId="77777777" w:rsidR="00000000" w:rsidRDefault="00570F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44" w:firstLine="748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7AF1FF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lang w:val="ka-GE" w:eastAsia="ka-GE"/>
        </w:rPr>
      </w:pPr>
    </w:p>
    <w:p w14:paraId="446B617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ოპერატიულ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6687C8C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b/>
          <w:bCs/>
          <w:sz w:val="32"/>
          <w:szCs w:val="32"/>
          <w:lang w:val="ka-GE" w:eastAsia="ka-GE"/>
        </w:rPr>
      </w:pPr>
    </w:p>
    <w:p w14:paraId="022F833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</w:p>
    <w:p w14:paraId="73C9C2E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1E46DD4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1FA4CB8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</w:p>
    <w:p w14:paraId="1021043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AB635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30F8EC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</w:p>
    <w:p w14:paraId="56E601C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0DFD93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</w:t>
      </w:r>
      <w:r>
        <w:rPr>
          <w:rFonts w:ascii="Sylfaen" w:eastAsia="Times New Roman" w:hAnsi="Sylfaen" w:cs="Sylfaen"/>
          <w:lang w:val="ka-GE" w:eastAsia="ka-GE"/>
        </w:rPr>
        <w:t>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9CA7E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E17CF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82FC5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17B12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F428A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C8F97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       </w:t>
      </w:r>
    </w:p>
    <w:p w14:paraId="10183AA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C8EF76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B50E7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</w:t>
      </w:r>
      <w:r>
        <w:rPr>
          <w:rFonts w:ascii="Sylfaen" w:eastAsia="Times New Roman" w:hAnsi="Sylfaen" w:cs="Sylfaen"/>
          <w:lang w:val="ka-GE" w:eastAsia="ka-GE"/>
        </w:rPr>
        <w:t>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3F9D1D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1"/>
          <w:lang w:val="ka-GE" w:eastAsia="ka-GE"/>
        </w:rPr>
        <w:t>60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11F3E55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№4598)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№4258) (21.07.2018. №3283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B147D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01CEC4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A120F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07B181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57510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9CCD90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AFC18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A14BC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E4563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3CDA9F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3FF5FE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0EC03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F1BB2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</w:p>
    <w:p w14:paraId="23A59C9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</w:p>
    <w:p w14:paraId="2375030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0209E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84274A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</w:t>
      </w:r>
      <w:r>
        <w:rPr>
          <w:rFonts w:ascii="Sylfaen" w:eastAsia="Times New Roman" w:hAnsi="Sylfaen" w:cs="Sylfaen"/>
          <w:lang w:val="ka-GE" w:eastAsia="ka-GE"/>
        </w:rPr>
        <w:t>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82EC9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BA106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13185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ბლანკებზე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ბეჭდებსა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99261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57C09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ფაქსიმილეს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ფაქსიმილეს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85029A" w14:textId="77777777" w:rsidR="00000000" w:rsidRDefault="00570F14">
      <w:pPr>
        <w:tabs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31C1B74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</w:p>
    <w:p w14:paraId="6FA1A0E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A74E0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6A647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10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1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B9E4E2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329FFD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5.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14:paraId="3D49DA9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lang w:val="ka-GE" w:eastAsia="ka-GE"/>
        </w:rPr>
        <w:t>.</w:t>
      </w:r>
      <w:r>
        <w:rPr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lang w:val="ka-GE" w:eastAsia="ka-GE"/>
        </w:rPr>
        <w:t xml:space="preserve">. </w:t>
      </w:r>
    </w:p>
    <w:p w14:paraId="55539EC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FE526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EAB9EF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lang w:val="ka-GE" w:eastAsia="ka-GE"/>
        </w:rPr>
        <w:t>.</w:t>
      </w:r>
      <w:r>
        <w:rPr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მოუკიდებელია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lang w:val="ka-GE" w:eastAsia="ka-GE"/>
        </w:rPr>
        <w:t>.</w:t>
      </w:r>
    </w:p>
    <w:p w14:paraId="28FE655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ააგენტოსთვის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lang w:val="ka-GE" w:eastAsia="ka-GE"/>
        </w:rPr>
        <w:t>.</w:t>
      </w:r>
    </w:p>
    <w:p w14:paraId="42836F6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</w:t>
      </w:r>
      <w:r>
        <w:rPr>
          <w:rFonts w:ascii="Sylfaen" w:eastAsia="Times New Roman" w:hAnsi="Sylfaen" w:cs="Sylfaen"/>
          <w:lang w:val="ka-GE" w:eastAsia="ka-GE"/>
        </w:rPr>
        <w:t>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.         </w:t>
      </w:r>
    </w:p>
    <w:p w14:paraId="4754F13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20B5E8E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DB4A24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</w:p>
    <w:p w14:paraId="15C399F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BF6C73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464A9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A7B3F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</w:t>
      </w:r>
      <w:r>
        <w:rPr>
          <w:rFonts w:ascii="Sylfaen" w:eastAsia="Times New Roman" w:hAnsi="Sylfaen" w:cs="Sylfaen"/>
          <w:lang w:val="ka-GE" w:eastAsia="ka-GE"/>
        </w:rPr>
        <w:t>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AF8D9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D73CD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კონსპირაციულობა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46928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6FE6E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EFA566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14:paraId="74D0A9F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</w:p>
    <w:p w14:paraId="04165E8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693602A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81028F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F0162D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3392E9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</w:t>
      </w:r>
      <w:r>
        <w:rPr>
          <w:rFonts w:ascii="Sylfaen" w:eastAsia="Times New Roman" w:hAnsi="Sylfaen" w:cs="Sylfaen"/>
          <w:lang w:val="ka-GE" w:eastAsia="ka-GE"/>
        </w:rPr>
        <w:t>რადებასთან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BD2D1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77F49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F037D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9A7F1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სატელეგრაფო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0B066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ვიდეოჩაწე</w:t>
      </w:r>
      <w:r>
        <w:rPr>
          <w:rFonts w:ascii="Sylfaen" w:eastAsia="Times New Roman" w:hAnsi="Sylfaen" w:cs="Sylfaen"/>
          <w:lang w:val="ka-GE" w:eastAsia="ka-GE"/>
        </w:rPr>
        <w:t>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აუდიოჩაწერასთან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ფოტოგადაღებასთან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015DD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7A7C7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4606B0C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</w:p>
    <w:p w14:paraId="09B7EB2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FC5077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4BD3BD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ACD96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1D36D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CD713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</w:t>
      </w:r>
      <w:r>
        <w:rPr>
          <w:rFonts w:ascii="Sylfaen" w:eastAsia="Times New Roman" w:hAnsi="Sylfaen" w:cs="Sylfaen"/>
          <w:lang w:val="ka-GE" w:eastAsia="ka-GE"/>
        </w:rPr>
        <w:t>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7DB4F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94E52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27556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B03C9D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627E1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8C1B6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0469E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60A0A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012F8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შენიღბულია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88C1E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83AAC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3BC22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6932F0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80CF0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392259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8B7FB1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</w:t>
      </w:r>
      <w:r>
        <w:rPr>
          <w:rFonts w:ascii="Sylfaen" w:eastAsia="Times New Roman" w:hAnsi="Sylfaen" w:cs="Sylfaen"/>
          <w:lang w:val="ka-GE" w:eastAsia="ka-GE"/>
        </w:rPr>
        <w:t>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528DC9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BA3D6B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ხელშემშლელ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70EAF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F3FB4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7FA8C1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DCE68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285C92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</w:p>
    <w:p w14:paraId="7181ADE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6F9A2F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1ED464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ADF14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</w:t>
      </w:r>
      <w:r>
        <w:rPr>
          <w:rFonts w:ascii="Sylfaen" w:eastAsia="Times New Roman" w:hAnsi="Sylfaen" w:cs="Sylfaen"/>
          <w:lang w:val="ka-GE" w:eastAsia="ka-GE"/>
        </w:rPr>
        <w:t>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0D0DD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1D845D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0FD014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</w:t>
      </w:r>
      <w:r>
        <w:rPr>
          <w:rFonts w:ascii="Sylfaen" w:eastAsia="Times New Roman" w:hAnsi="Sylfaen" w:cs="Sylfaen"/>
          <w:lang w:val="ka-GE" w:eastAsia="ka-GE"/>
        </w:rPr>
        <w:t>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260FE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3BE87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5283E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</w:t>
      </w:r>
      <w:r>
        <w:rPr>
          <w:rFonts w:ascii="Sylfaen" w:eastAsia="Times New Roman" w:hAnsi="Sylfaen" w:cs="Sylfaen"/>
          <w:lang w:val="ka-GE" w:eastAsia="ka-GE"/>
        </w:rPr>
        <w:t>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9C4C1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1F767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101C2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14:paraId="0B14E01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</w:p>
    <w:p w14:paraId="3AE640C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2E4FEB6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05E75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C87EAA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position w:val="5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42463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A8D5AC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ნფრასტრუქტურიდან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DFEB6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57360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4C048F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FBBFBD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</w:p>
    <w:p w14:paraId="29B8D48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BDF0B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BC8AD1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A53AE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D25B5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069F6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71EE06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</w:p>
    <w:p w14:paraId="6692C38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</w:t>
      </w:r>
      <w:r>
        <w:rPr>
          <w:rFonts w:ascii="Sylfaen" w:eastAsia="Times New Roman" w:hAnsi="Sylfaen" w:cs="Sylfaen"/>
          <w:lang w:val="ka-GE" w:eastAsia="ka-GE"/>
        </w:rPr>
        <w:t>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763E72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</w:p>
    <w:p w14:paraId="3EA7F6E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</w:t>
      </w:r>
      <w:r>
        <w:rPr>
          <w:rFonts w:ascii="Sylfaen" w:eastAsia="Times New Roman" w:hAnsi="Sylfaen" w:cs="Sylfaen"/>
          <w:lang w:val="ka-GE" w:eastAsia="ka-GE"/>
        </w:rPr>
        <w:t>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</w:p>
    <w:p w14:paraId="4CB88C3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5EE7AA3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</w:p>
    <w:p w14:paraId="787ACFF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A88D62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E8B67A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1496A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E4AA2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C61B04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AB4808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</w:p>
    <w:p w14:paraId="59B310E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9D778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1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1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FEE2D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1"/>
          <w:lang w:val="ka-GE" w:eastAsia="ka-GE"/>
        </w:rPr>
        <w:t>2</w:t>
      </w:r>
      <w:r>
        <w:rPr>
          <w:rFonts w:ascii="Sylfaen" w:hAnsi="Sylfaen" w:cs="Sylfaen"/>
          <w:position w:val="5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1"/>
          <w:lang w:val="ka-GE" w:eastAsia="ka-GE"/>
        </w:rPr>
        <w:t>3</w:t>
      </w:r>
      <w:r>
        <w:rPr>
          <w:rFonts w:ascii="Sylfaen" w:hAnsi="Sylfaen" w:cs="Sylfaen"/>
          <w:position w:val="5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51FEF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1AE486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</w:p>
    <w:p w14:paraId="561C83F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F006DC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(30.11.2018. N3800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80689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F389DD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გამოსაძიებლად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0C94E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BA350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</w:t>
      </w:r>
      <w:r>
        <w:rPr>
          <w:rFonts w:ascii="Sylfaen" w:eastAsia="Times New Roman" w:hAnsi="Sylfaen" w:cs="Sylfaen"/>
          <w:lang w:val="ka-GE" w:eastAsia="ka-GE"/>
        </w:rPr>
        <w:t>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91C4E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</w:t>
      </w:r>
      <w:r>
        <w:rPr>
          <w:rFonts w:ascii="Sylfaen" w:eastAsia="Times New Roman" w:hAnsi="Sylfaen" w:cs="Sylfaen"/>
          <w:lang w:val="ka-GE" w:eastAsia="ka-GE"/>
        </w:rPr>
        <w:t>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3ADC6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2748F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(30.11.2018. N3800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281AB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C96455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BEEC02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514E255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FBECB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B4644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</w:t>
      </w:r>
      <w:r>
        <w:rPr>
          <w:rFonts w:ascii="Sylfaen" w:eastAsia="Times New Roman" w:hAnsi="Sylfaen" w:cs="Sylfaen"/>
          <w:lang w:val="ka-GE" w:eastAsia="ka-GE"/>
        </w:rPr>
        <w:t>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78863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</w:t>
      </w:r>
      <w:r>
        <w:rPr>
          <w:rFonts w:ascii="Sylfaen" w:eastAsia="Times New Roman" w:hAnsi="Sylfaen" w:cs="Sylfaen"/>
          <w:lang w:val="ka-GE" w:eastAsia="ka-GE"/>
        </w:rPr>
        <w:t>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05C18DD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6B9B9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1"/>
          <w:lang w:val="ka-GE" w:eastAsia="ka-GE"/>
        </w:rPr>
        <w:t>7</w:t>
      </w:r>
      <w:r>
        <w:rPr>
          <w:rFonts w:ascii="Sylfaen" w:hAnsi="Sylfaen" w:cs="Sylfaen"/>
          <w:position w:val="5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43BEC6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19EA216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lang w:val="ka-GE" w:eastAsia="ka-GE"/>
        </w:rPr>
      </w:pPr>
    </w:p>
    <w:p w14:paraId="460F9C3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</w:p>
    <w:p w14:paraId="5FE9E91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9FE6C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0654ED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8D585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82756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DE663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04A44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51FE0B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2FD601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5B48D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07143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49F31D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A48A16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640BF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2CA52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7C8A48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5BD2E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B6292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54A89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ბრძანებისთვისაა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D454E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ინდი</w:t>
      </w:r>
      <w:r>
        <w:rPr>
          <w:rFonts w:ascii="Sylfaen" w:eastAsia="Times New Roman" w:hAnsi="Sylfaen" w:cs="Sylfaen"/>
          <w:lang w:val="ka-GE" w:eastAsia="ka-GE"/>
        </w:rPr>
        <w:t>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CA675A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</w:p>
    <w:p w14:paraId="70EBD96F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center" w:pos="5760"/>
          <w:tab w:val="left" w:pos="669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14:paraId="23016D57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14:paraId="08CC5962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28DAF9D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96D78D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</w:t>
      </w:r>
      <w:r>
        <w:rPr>
          <w:rFonts w:ascii="Sylfaen" w:eastAsia="Times New Roman" w:hAnsi="Sylfaen" w:cs="Sylfaen"/>
          <w:lang w:val="ka-GE" w:eastAsia="ka-GE"/>
        </w:rPr>
        <w:t>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D81AEF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8E0D13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989254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A32873E" w14:textId="77777777" w:rsidR="00000000" w:rsidRDefault="00570F14">
      <w:pPr>
        <w:tabs>
          <w:tab w:val="left" w:pos="283"/>
          <w:tab w:val="left" w:pos="56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14:paraId="6F7B307C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</w:p>
    <w:p w14:paraId="63FFF284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079A53" w14:textId="77777777" w:rsidR="00000000" w:rsidRDefault="00570F1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B8635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C76D0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14:paraId="18AF55E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</w:p>
    <w:p w14:paraId="197F520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447A27C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14:paraId="1D553D0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13552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02B61BE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</w:t>
      </w:r>
      <w:r>
        <w:rPr>
          <w:rFonts w:ascii="Sylfaen" w:eastAsia="Times New Roman" w:hAnsi="Sylfaen" w:cs="Sylfaen"/>
          <w:lang w:val="ka-GE" w:eastAsia="ka-GE"/>
        </w:rPr>
        <w:t>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58130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10DEC54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439F3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40F4E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00F50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C5BC1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CE1D4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დამტკიცებულად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ამჯერადაც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45A22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C6A941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C06C6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0CA0A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37B5D8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C0462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5144C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C7651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7F3B5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1453B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DC8EE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627A9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</w:p>
    <w:p w14:paraId="04061B2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94C32E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4AC22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E074F5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97CDD6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</w:t>
      </w:r>
      <w:r>
        <w:rPr>
          <w:rFonts w:ascii="Sylfaen" w:eastAsia="Times New Roman" w:hAnsi="Sylfaen" w:cs="Sylfaen"/>
          <w:lang w:val="ka-GE" w:eastAsia="ka-GE"/>
        </w:rPr>
        <w:t>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647B0C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755D12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46BA7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6C182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E7A7D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</w:t>
      </w:r>
      <w:r>
        <w:rPr>
          <w:rFonts w:ascii="Sylfaen" w:eastAsia="Times New Roman" w:hAnsi="Sylfaen" w:cs="Sylfaen"/>
          <w:lang w:val="ka-GE" w:eastAsia="ka-GE"/>
        </w:rPr>
        <w:t>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14:paraId="691E15B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33823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D1854E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ოდებებს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7EB7C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წაახალისებს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4D5C2EA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47741D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26C32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18AEE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DFA3BD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3D781B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D987A6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2D9BFC3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26773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</w:p>
    <w:p w14:paraId="62B807D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</w:p>
    <w:p w14:paraId="4910B56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</w:p>
    <w:p w14:paraId="210C913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</w:p>
    <w:p w14:paraId="7A2B4EB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7849C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B33C3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E1A23E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</w:p>
    <w:p w14:paraId="3BDF726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6341F4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A09C1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49017A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E78B6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ეკავოთ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DCABD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BB834E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14:paraId="44D1B8B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14:paraId="3CA80C9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15F6C01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34DD2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15A32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20AB31" w14:textId="77777777" w:rsidR="00000000" w:rsidRDefault="00570F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62544E1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14:paraId="5744B9A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</w:p>
    <w:p w14:paraId="0292E15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57DC47E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BF860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2686410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7791B4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C196BE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4D84B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</w:p>
    <w:p w14:paraId="66E832D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74F4742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1989A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BC3E65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68D421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9EA9C3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</w:p>
    <w:p w14:paraId="6EE38B62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2A671E06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F7838D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7E9AFA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14:paraId="0E0C521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09B6446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06BDE0B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14:paraId="35321AAC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5E3607AF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59D19E30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59AE7A91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5A0F26E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5A813310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90C322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9AAC6B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D56023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საჩუქრისა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D5DB55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4C23B1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C023902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51D74C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BD42B8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B56AF5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D4F1E1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</w:p>
    <w:p w14:paraId="774FF30A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2BD093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საბრუნავი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</w:t>
      </w:r>
      <w:r>
        <w:rPr>
          <w:rFonts w:ascii="Sylfaen" w:eastAsia="Times New Roman" w:hAnsi="Sylfaen" w:cs="Sylfaen"/>
          <w:lang w:val="ka-GE" w:eastAsia="ka-GE"/>
        </w:rPr>
        <w:t>რსებისგან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ED80AE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6A6E4E8D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14:paraId="24C87208" w14:textId="77777777" w:rsidR="00000000" w:rsidRDefault="00570F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38CB6B9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Helvetica" w:hAnsi="Helvetica" w:cs="Helvetica"/>
          <w:color w:val="333333"/>
          <w:lang w:val="ka-GE" w:eastAsia="ka-GE"/>
        </w:rPr>
      </w:pPr>
    </w:p>
    <w:p w14:paraId="6EEB0253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Helvetica" w:hAnsi="Helvetica" w:cs="Helvetica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Helvetica" w:hAnsi="Helvetica" w:cs="Helvetica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48C52A2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1.</w:t>
      </w:r>
      <w:r>
        <w:rPr>
          <w:rFonts w:ascii="Helvetica" w:hAnsi="Helvetica" w:cs="Helvetica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EEE171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F9BFA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3A36C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4A53F9E2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3.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Helvetica" w:hAnsi="Helvetica" w:cs="Helvetica"/>
          <w:lang w:val="ka-GE" w:eastAsia="ka-GE"/>
        </w:rPr>
        <w:t>:</w:t>
      </w:r>
    </w:p>
    <w:p w14:paraId="12A6368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86DAA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7FB51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537E4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51FA5A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24002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26668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6392AA1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2542A0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79A95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3061ADA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4F5A4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35470646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C872E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ED396D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hAnsi="Sylfaen" w:cs="Sylfaen"/>
          <w:sz w:val="24"/>
          <w:szCs w:val="24"/>
          <w:lang w:val="en-US"/>
        </w:rPr>
        <w:t>112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BC0C9D7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12.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0C07C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E92FDCF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481FE81B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1841F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-17–32-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.        </w:t>
      </w:r>
    </w:p>
    <w:p w14:paraId="3CA707EE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E80A9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56EAB6CA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5735A4C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</w:t>
      </w:r>
      <w:r>
        <w:rPr>
          <w:rFonts w:ascii="Sylfaen" w:eastAsia="Times New Roman" w:hAnsi="Sylfaen" w:cs="Sylfaen"/>
          <w:lang w:val="ka-GE" w:eastAsia="ka-GE"/>
        </w:rPr>
        <w:t>გიორგი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მარგველაშვილი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55BD33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</w:p>
    <w:p w14:paraId="1EC23135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ქუთაისი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1AE68464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71A468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№475-II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5ABCE679" w14:textId="77777777" w:rsidR="00000000" w:rsidRDefault="005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0F14"/>
    <w:rsid w:val="005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AE03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basedOn w:val="Normal"/>
    <w:uiPriority w:val="99"/>
    <w:pPr>
      <w:widowControl w:val="0"/>
      <w:spacing w:after="0" w:line="240" w:lineRule="auto"/>
    </w:pPr>
    <w:rPr>
      <w:rFonts w:ascii="AcadNusx" w:hAnsi="AcadNusx" w:cs="AcadNusx"/>
      <w:sz w:val="24"/>
      <w:szCs w:val="24"/>
    </w:rPr>
  </w:style>
  <w:style w:type="paragraph" w:customStyle="1" w:styleId="abzacixml0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bzacixmlChar">
    <w:name w:val="abzaci_xml Char"/>
    <w:basedOn w:val="DefaultParagraphFont"/>
    <w:uiPriority w:val="99"/>
    <w:rPr>
      <w:rFonts w:cs="Sylfaen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8973</Words>
  <Characters>51148</Characters>
  <Application>Microsoft Office Word</Application>
  <DocSecurity>0</DocSecurity>
  <Lines>426</Lines>
  <Paragraphs>120</Paragraphs>
  <ScaleCrop>false</ScaleCrop>
  <Company/>
  <LinksUpToDate>false</LinksUpToDate>
  <CharactersWithSpaces>60001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