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i/>
          <w:iCs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შეფასების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კოდექსი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:rsidR="00000000" w:rsidRDefault="008402C0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შერბილებული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რეზიუმე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საილუსტრაციო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მრავალფეროვნება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აინტერესებდეს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(07.12.2017. N1700)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(07.12.2017.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N1700)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სამონტაჟო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I </w:t>
      </w:r>
      <w:r>
        <w:rPr>
          <w:rFonts w:ascii="Sylfaen" w:eastAsia="Times New Roman" w:hAnsi="Sylfaen" w:cs="Sylfaen"/>
          <w:lang w:val="en-US"/>
        </w:rPr>
        <w:t>დანართით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II </w:t>
      </w:r>
      <w:r>
        <w:rPr>
          <w:rFonts w:ascii="Sylfaen" w:eastAsia="Times New Roman" w:hAnsi="Sylfaen" w:cs="Sylfaen"/>
          <w:lang w:val="en-US"/>
        </w:rPr>
        <w:t>დანართით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მეწყერი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წყალდიდობა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№3106)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720"/>
          <w:tab w:val="left" w:pos="117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8402C0">
      <w:pPr>
        <w:tabs>
          <w:tab w:val="left" w:pos="450"/>
          <w:tab w:val="left" w:pos="720"/>
          <w:tab w:val="left" w:pos="117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720"/>
          <w:tab w:val="left" w:pos="117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720"/>
          <w:tab w:val="left" w:pos="117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720"/>
          <w:tab w:val="left" w:pos="117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720"/>
          <w:tab w:val="left" w:pos="117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8402C0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№1106)</w:t>
      </w:r>
    </w:p>
    <w:p w:rsidR="00000000" w:rsidRDefault="008402C0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ბიომრავალფეროვნება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ბიტატები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C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ქტორებზე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აღმჭურველ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აღმჭურველ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11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აღმჭურველ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12.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12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sv-SE" w:eastAsia="sv-S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sv-SE" w:eastAsia="sv-SE"/>
        </w:rPr>
        <w:t>საქმიანობისთვის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, GIS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გეოინფორმაციული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(shp-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ფაილთან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ხასიათ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ცვლილებებიდან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4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ქვეზონისა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ქვეზონასთან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კუმულაციური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მასშტაბური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თავსებადობა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ჭარბტენიან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გაბატონებულია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კომპლექსურობა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ანცხადებისა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ვერსიების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, GIS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გეოინფორმაციული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(shp-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ფაილთან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რეკულტივაციის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შესარბილებლად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რელევანტური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№1106)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სისწორისთვის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რელევანტური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GIS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გეოინფორმაც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(shp-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სადემონტაჟო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გამოსხივება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გამოსხივება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უმოქმედობის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ბიომრავალფეროვნებაზე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ჰიდრომორფოლოგიური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დატკეპნა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დეგრადაცია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კუმულაციური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ნეგატიური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სადემონტაჟო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დამაბინძურებელი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მოწყვლადობით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შერბილებისა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შეუქცევი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შეუქცევი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ურთიერთშეწონას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მოწყვლადობით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რეზიუმეს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რეკულტი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GIS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გეოინფორმაციული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(shp-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გამონამუშევრის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GIS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გამონამუშევრის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№1106)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დასაიდუმლოება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დამაბინძურებელ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54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8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</w:p>
    <w:p w:rsidR="00000000" w:rsidRDefault="008402C0">
      <w:pPr>
        <w:tabs>
          <w:tab w:val="left" w:pos="180"/>
          <w:tab w:val="left" w:pos="36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8402C0">
      <w:pPr>
        <w:tabs>
          <w:tab w:val="left" w:pos="180"/>
          <w:tab w:val="left" w:pos="36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8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8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გასათვალისწინებელ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851"/>
          <w:tab w:val="left" w:pos="117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სისწორისთვის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pStyle w:val="ListParagraph"/>
        <w:tabs>
          <w:tab w:val="left" w:pos="851"/>
          <w:tab w:val="left" w:pos="117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8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8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pStyle w:val="ListParagraph"/>
        <w:tabs>
          <w:tab w:val="left" w:pos="18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შერბილების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შემარბილებელ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№1106)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შემარბილებელი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9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pStyle w:val="BodyTextIndent"/>
        <w:tabs>
          <w:tab w:val="left" w:pos="708"/>
          <w:tab w:val="left" w:pos="81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ვალებ</w:t>
      </w:r>
      <w:r>
        <w:rPr>
          <w:rFonts w:ascii="Sylfaen" w:eastAsia="Times New Roman" w:hAnsi="Sylfaen" w:cs="Sylfaen"/>
          <w:lang w:val="ka-GE" w:eastAsia="ka-GE"/>
        </w:rPr>
        <w:t>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402C0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გაასხვისებს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</w:t>
      </w:r>
      <w:r>
        <w:rPr>
          <w:rFonts w:ascii="Sylfaen" w:eastAsia="Times New Roman" w:hAnsi="Sylfaen" w:cs="Sylfaen"/>
          <w:lang w:val="en-US"/>
        </w:rPr>
        <w:t>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402C0">
      <w:pPr>
        <w:tabs>
          <w:tab w:val="left" w:pos="36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360"/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GIS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(shp-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№1106)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შემარბილებელი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</w:p>
    <w:p w:rsidR="00000000" w:rsidRDefault="008402C0">
      <w:pPr>
        <w:pStyle w:val="ListParagraph"/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77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90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402C0">
      <w:pPr>
        <w:tabs>
          <w:tab w:val="left" w:pos="90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90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90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90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pStyle w:val="ListParagraph"/>
        <w:tabs>
          <w:tab w:val="left" w:pos="90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90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მიახლოებითი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ურბანულ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მრეწველობა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კონცეპტუალურად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შემოფარგლული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შეუქცევ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კუმულაციური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ჩატარდება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ჩატარდება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</w:t>
      </w:r>
    </w:p>
    <w:p w:rsidR="00000000" w:rsidRDefault="008402C0">
      <w:pPr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</w:t>
      </w:r>
    </w:p>
    <w:p w:rsidR="00000000" w:rsidRDefault="008402C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ცეფცია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მოწყვლადობა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402C0">
      <w:pPr>
        <w:tabs>
          <w:tab w:val="left" w:pos="18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8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80"/>
          <w:tab w:val="left" w:pos="90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შერბილებისა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საზრებებსა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</w:p>
    <w:p w:rsidR="00000000" w:rsidRDefault="008402C0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მომზადდეს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შერბილების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რეზიუმეს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851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დუბლირების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ავრცელებს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გვერდებზე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გამოგზავნიდან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ab/>
        <w:t xml:space="preserve">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№7164)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რეზიუმეს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color w:val="FF0000"/>
          <w:sz w:val="24"/>
          <w:szCs w:val="24"/>
          <w:u w:val="single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42"/>
          <w:tab w:val="left" w:pos="45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42"/>
          <w:tab w:val="left" w:pos="45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სარწმუნო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ამოქვეყნდეს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ეპიდემიის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პანდემიის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ეპიდემიოლოგიური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ჰიბრიდული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ჰიბრიდული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</w:p>
    <w:p w:rsidR="00000000" w:rsidRDefault="008402C0">
      <w:pPr>
        <w:tabs>
          <w:tab w:val="left" w:pos="360"/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360"/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</w:p>
    <w:p w:rsidR="00000000" w:rsidRDefault="008402C0">
      <w:pPr>
        <w:pStyle w:val="ListParagraph"/>
        <w:tabs>
          <w:tab w:val="left" w:pos="18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</w:p>
    <w:p w:rsidR="00000000" w:rsidRDefault="008402C0">
      <w:pPr>
        <w:tabs>
          <w:tab w:val="left" w:pos="284"/>
          <w:tab w:val="left" w:pos="450"/>
          <w:tab w:val="left" w:pos="63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ქმიანობამ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ოცედურაში</w:t>
      </w:r>
    </w:p>
    <w:p w:rsidR="00000000" w:rsidRDefault="008402C0">
      <w:pPr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pStyle w:val="ListParagraph"/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</w:p>
    <w:p w:rsidR="00000000" w:rsidRDefault="008402C0">
      <w:pPr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540"/>
          <w:tab w:val="left" w:pos="630"/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pStyle w:val="ListParagraph"/>
        <w:tabs>
          <w:tab w:val="left" w:pos="18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I</w:t>
      </w:r>
    </w:p>
    <w:p w:rsidR="00000000" w:rsidRDefault="008402C0">
      <w:pPr>
        <w:pStyle w:val="ListParagraph"/>
        <w:tabs>
          <w:tab w:val="left" w:pos="18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</w:p>
    <w:p w:rsidR="00000000" w:rsidRDefault="008402C0">
      <w:pPr>
        <w:pStyle w:val="ListParagraph"/>
        <w:tabs>
          <w:tab w:val="left" w:pos="18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დაათვალიერონ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დამგეგმავი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-7–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სკოპინგის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შეუსრულებლობისთვის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ნაგავსაყრელების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ქვესადგურებისა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რკინიგზისა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გზაგამტარი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გვირაბებისა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მეტროპოლიტენისა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გაზსადენებისა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მიუმართავთ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აღმჭურველი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widowControl w:val="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რველი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ოქმედების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შერბილების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გრაფიკი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widowControl w:val="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pStyle w:val="BodyTextIndent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რეგისტრაციისთანავე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დოკუ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მენტაციის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ჩართულობისა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ოფიცი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ალურ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მოსაზრებებსა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დაათვალიერონ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შეისწავლონ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არგუმენტირებული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ლობითი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გაუთვა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ლისწინებლობის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გრაფიკის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არაუად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გრაფიკით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08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გრაფიკით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მართლებრივ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08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16.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განმახორციელებლისთვის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-17–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მიუხ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ედავად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აღმჭურველ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4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გზშ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აღმჭურველი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ატომური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№3106)</w:t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“; </w:t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“; </w:t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85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№47, 26.12.2007,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404);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№47, 26.12.2007,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405).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-5–46-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დანართებისა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-14–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30-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), 31-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32-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), 33-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–36-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                              42-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–46-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დანართები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№3106)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№3106)</w:t>
      </w:r>
    </w:p>
    <w:p w:rsidR="00000000" w:rsidRDefault="008402C0">
      <w:pPr>
        <w:tabs>
          <w:tab w:val="left" w:pos="45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შესვლისთანავე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</w: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კონტექსტში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№1445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shd w:val="clear" w:color="auto" w:fill="FFFFFF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pStyle w:val="ListParagraph"/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b/>
          <w:bCs/>
          <w:sz w:val="40"/>
          <w:szCs w:val="40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ab/>
        <w:t xml:space="preserve">                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მარგველაშვილი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2017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ივნისი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№890-II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br w:type="page"/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rPr>
          <w:rFonts w:ascii="Sylfaen" w:hAnsi="Sylfaen" w:cs="Sylfaen"/>
          <w:b/>
          <w:bCs/>
          <w:sz w:val="24"/>
          <w:szCs w:val="24"/>
          <w:u w:val="single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08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08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I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საქმიანობები</w:t>
      </w:r>
    </w:p>
    <w:p w:rsidR="00000000" w:rsidRDefault="008402C0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18" w:hanging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1:</w:t>
      </w:r>
    </w:p>
    <w:p w:rsidR="00000000" w:rsidRDefault="008402C0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18" w:hanging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1.1.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ნედლი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ნავთობის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საზეთ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საპოხი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მასალისა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გადამუშავება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8" w:hanging="284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ღამეში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ტონა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ქვანახშირის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ბიტუმოვანი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ფიქლის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გათხიერება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გაზიფიცირება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72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hanging="191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10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მეგავატი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თბოელექტროსადგურის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სხვა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დანადგარის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ექსპლუატაცია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900" w:hanging="191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ატომური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ელექტროსადგურის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სხვა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ბირთვული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რეაქტორის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დემონტაჟისა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დეკომისიის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ჩათვლით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კვლევითი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დანადგარისა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რომელიც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გამოიყენება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დაშლადი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მასალების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ბირთვული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საწვავის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წარმოებისა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გარდაქმნისათვის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მაქსიმალური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სიმძლავრე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კილოვატ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უწყვეტ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სითბურ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დატ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ვირთვას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hanging="191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8402C0">
      <w:pPr>
        <w:pStyle w:val="ListParagraph"/>
        <w:tabs>
          <w:tab w:val="left" w:pos="1353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353" w:hanging="360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4.1.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ბირთვული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საწვავის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გამდიდრება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447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4.2.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დასხივებული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ბირთვული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საწვავის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მაღალი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აქტივობის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მქონე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რადიოაქტიური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გადამუშავება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447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4.3.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დასხივ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276"/>
          <w:tab w:val="left" w:pos="1710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76" w:hanging="283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4.4.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დასხივებული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276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276" w:hanging="283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4.5.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რადიოაქტიული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080" w:hanging="371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თუჯის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ფოლადის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ფეროშენადნობების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პირველადი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მეორეული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დნობის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ჩათვლით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080" w:hanging="371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მეტალურგიული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კონცენტრატებიდან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საიუველირო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080" w:hanging="371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აზბესტის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ამოღება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აზბესტისა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აზბესტშემცველი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პროდუქციის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დამუშავება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გარდაქმნა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20 000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ტონაზე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აზბესტ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ცემენტის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პროდუქციის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50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ტონაზე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ფრიქციული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მასალის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200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ტონაზე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აზბესტის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გვარად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080" w:hanging="371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მრეწველობა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8402C0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170" w:hanging="17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8.1.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17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17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8.3.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ფოსფოროვანი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აზოტოვანი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კალიუმოვანი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</w:p>
    <w:p w:rsidR="00000000" w:rsidRDefault="008402C0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17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8.4.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ბიოციდების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170" w:hanging="17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170" w:hanging="17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81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851" w:hanging="425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მიწისზედა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81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851" w:hanging="425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ასაფრენ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დასაფრენი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სიგრძე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810" w:hanging="38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384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მოდერნიზაცია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სიგრძე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კილომეტრია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კილომეტრზე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38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გვირაბის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38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შიდასამდინარო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ტვირთამწეობა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384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15.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საზღვაო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პორტის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ხმელეთთან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სხვა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პორტთან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დაკავშირებული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სატვირთო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მისადგომის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საბორნე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მისადგომისა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ექსპლუატაცია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რომელსაც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შეუძლია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მიიღ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1350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ტონაზე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წყალწყვის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ხომალდი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ინსინერაცია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ამოტუმბვის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წისქვეშა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ამოსატუმბავი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ჩასატუმბავი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მილიონი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shd w:val="clear" w:color="auto" w:fill="FFFFFF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810" w:hanging="526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აუზებს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გადაგდება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გადატანისა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): </w:t>
      </w:r>
    </w:p>
    <w:p w:rsidR="00000000" w:rsidRDefault="008402C0">
      <w:pPr>
        <w:pStyle w:val="ListParagraph"/>
        <w:tabs>
          <w:tab w:val="left" w:pos="810"/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30" w:hanging="521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 19.1.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როდესაც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გადაგდე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ნაკლებობის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თავიდან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ასაცილებლად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ხორციელდება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გადაგდებული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მოცულობა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მილიონ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Times New Roman" w:hAnsi="Times New Roman" w:cs="Times New Roman"/>
          <w:position w:val="12"/>
          <w:sz w:val="24"/>
          <w:szCs w:val="24"/>
          <w:shd w:val="clear" w:color="auto" w:fill="FFFFFF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810"/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30" w:hanging="521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19.2.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ყველა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სხვა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როდესაც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მდინარის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საშუალო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მრავალწლიური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ჩამონადენი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რომლიდანაც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წყალი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გადანაწილდება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მილიონ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Times New Roman" w:hAnsi="Times New Roman" w:cs="Times New Roman"/>
          <w:position w:val="6"/>
          <w:sz w:val="24"/>
          <w:szCs w:val="24"/>
          <w:shd w:val="clear" w:color="auto" w:fill="FFFFFF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გადატანილი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ხარჯი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მდინარის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მრავალწლიური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მინიმალური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ხარჯის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5%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აღემატება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810" w:hanging="526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20.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ურბანული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ჩამდინარე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გამწმენდი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ნაგებობის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50 000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იანი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შესაბამისი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წარმადობით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კაშხლის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დასაგროვებლად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22.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5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მეგავატი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სიმძლავრის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ჰიდროელექტროსადგურის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23.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800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მილიმეტრი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დიამეტრის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40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კილომეტრზე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სიგრძის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მილსადენის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ექსპლუატაცია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ნავთობის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გაზის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ქიმიური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ნაერთების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ტრანსპორტირებისათვის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აგრეთვე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გეოლოგიური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დასაწყობების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ნახშირბადის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დიოქსიდის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(CO</w:t>
      </w:r>
      <w:r>
        <w:rPr>
          <w:rFonts w:ascii="Times New Roman" w:hAnsi="Times New Roman" w:cs="Times New Roman"/>
          <w:color w:val="000000"/>
          <w:position w:val="-12"/>
          <w:sz w:val="24"/>
          <w:szCs w:val="24"/>
          <w:shd w:val="clear" w:color="auto" w:fill="FFFFFF"/>
          <w:lang w:val="ka-GE" w:eastAsia="ka-G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ტრა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ნსპორტირებისათვის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მეფრინველეობის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ფერმა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85 000-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სადგომით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წიწილებისათვის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60 000-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სადგომით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ქათმებისათვის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მეღორეობის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ფერმა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(1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000-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სადგომით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გოჭებისათვის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(30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კილოგრამზე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ნაკლები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6000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სადგომით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ღორებისათვის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(30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კილოგრამზე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)).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მერქნისგან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ბოჭკოვანი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ცელულოზის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ღამეში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მუყაოს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ზედაპირი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hAnsi="Sylfaen" w:cs="Sylfaen"/>
          <w:b/>
          <w:bCs/>
          <w:sz w:val="40"/>
          <w:szCs w:val="40"/>
          <w:shd w:val="clear" w:color="auto" w:fill="FFFFFF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shd w:val="clear" w:color="auto" w:fill="FFFFFF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ტორფის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როდესაც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ზედაპირი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220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კილოვოლტი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ძაბ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მიწისზედა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მიწისქვეშა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ელექტროგადამცემი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ხაზის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გაყვანა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რომლის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სიგრძე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15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კილომეტრზე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29.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1 000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Sylfaen" w:hAnsi="Sylfaen" w:cs="Sylfaen"/>
          <w:color w:val="000000"/>
          <w:position w:val="12"/>
          <w:sz w:val="24"/>
          <w:szCs w:val="24"/>
          <w:shd w:val="clear" w:color="auto" w:fill="FFFFFF"/>
          <w:lang w:val="ka-GE" w:eastAsia="ka-G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ჯამური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მოცულობის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საწვავის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ქიმიური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პროდუქტების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საცავის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მოწყობა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ექსპლუატაცია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ნახშირბადის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დიოქსიდის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(CO</w:t>
      </w:r>
      <w:r>
        <w:rPr>
          <w:rFonts w:ascii="Times New Roman" w:hAnsi="Times New Roman" w:cs="Times New Roman"/>
          <w:color w:val="000000"/>
          <w:position w:val="-12"/>
          <w:sz w:val="24"/>
          <w:szCs w:val="24"/>
          <w:shd w:val="clear" w:color="auto" w:fill="FFFFFF"/>
          <w:lang w:val="ka-GE" w:eastAsia="ka-G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გეოლოგიუ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 w:hanging="52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1.5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მეგატონა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ნახშირბადის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დიოქსიდის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(CO</w:t>
      </w:r>
      <w:r>
        <w:rPr>
          <w:rFonts w:ascii="Times New Roman" w:hAnsi="Times New Roman" w:cs="Times New Roman"/>
          <w:color w:val="000000"/>
          <w:position w:val="-12"/>
          <w:sz w:val="24"/>
          <w:szCs w:val="24"/>
          <w:shd w:val="clear" w:color="auto" w:fill="FFFFFF"/>
          <w:lang w:val="ka-GE" w:eastAsia="ka-G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righ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:rsidR="00000000" w:rsidRDefault="008402C0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81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08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II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საქმიანობები</w:t>
      </w:r>
    </w:p>
    <w:p w:rsidR="00000000" w:rsidRDefault="008402C0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008" w:hanging="724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მეურნეობა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მეურნეობა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აკვაკულტურა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: </w:t>
      </w:r>
    </w:p>
    <w:p w:rsidR="00000000" w:rsidRDefault="008402C0">
      <w:pP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276" w:hanging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1.1. 10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1.2. 10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ყამირი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1.4. 500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;  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1.5. 500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შინაური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პირუტყვისათვის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სადგომის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hAnsi="Sylfaen" w:cs="Sylfaen"/>
          <w:b/>
          <w:bCs/>
          <w:sz w:val="40"/>
          <w:szCs w:val="40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1.7.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ზღვის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ფართობის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ათვისება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კუნძულის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ნახევარკუნძულის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შექმნა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900" w:hanging="616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მოპოვებითი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მრეწველობა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ბურღვითი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2.1.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ტორფის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მყარი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სასარგებლო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წიაღისეულის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ქვიშა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ხრეშისა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ზედაპირი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hAnsi="Sylfaen" w:cs="Sylfaen"/>
          <w:b/>
          <w:bCs/>
          <w:sz w:val="40"/>
          <w:szCs w:val="40"/>
          <w:shd w:val="clear" w:color="auto" w:fill="FFFFFF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shd w:val="clear" w:color="auto" w:fill="FFFFFF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ტორფის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ხრეშისა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2.2.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მტკნ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shd w:val="clear" w:color="auto" w:fill="FFFFFF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);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2.3.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ზღვიდან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2.4.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ბურღვითი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თერმული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თბოენერგეტიკული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2.5.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ბურღვითი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14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10" w:hanging="70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2.6.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ბურღვითი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მიწისზედა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ნახშირის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მადნის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ბიტუმოვა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ფიქლის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80" w:hanging="796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461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3.1. 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დანადგარი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მეგავატი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461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3.2.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საწარმოო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დანადგარი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ორთქლისა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ცხელი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ნავთობისა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გაზის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ორთქლის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ცხელი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დანადგარისა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ფართობი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0.5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ჰექტარზე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გამომუშავება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50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მეგავატს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461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3.3. 5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კილომეტრი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სიგრძის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მილსადენის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გაზის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ორთქლისა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ცხელი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გატარებისათვის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461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3.4. 35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კილოვოლტი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ძაბვის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მიწისზედა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ელექტროგადამცემი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ხაზის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გაყვანა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110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კილოვოლტი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ძაბვის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ქვესადგურის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განთავსება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461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3.5. 100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Sylfaen" w:hAnsi="Sylfaen" w:cs="Sylfaen"/>
          <w:color w:val="000000"/>
          <w:position w:val="12"/>
          <w:sz w:val="24"/>
          <w:szCs w:val="24"/>
          <w:shd w:val="clear" w:color="auto" w:fill="FFFFFF"/>
          <w:lang w:val="ka-GE" w:eastAsia="ka-GE"/>
        </w:rPr>
        <w:t>3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მოცულობის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საწვავის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ბუნებრივი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აირის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მიწისზედა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საცავის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მოწყობა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ექსპლუატა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ცია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461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3.6.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ნახშირის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ლიგნიტის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ბრიკეტირება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461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3.7.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შენახვა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170" w:hanging="461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3.8. 2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მეგავატიდან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მეგავატამდე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ჰიდროელექტროსადგურის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ექსპლუატაცია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170" w:hanging="461"/>
        <w:jc w:val="both"/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3.9.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დანადგარი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ქარის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ზღვის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ტალღების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ენერგიის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80" w:hanging="796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ლითონების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ფოლადის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4.2.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შავი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ლითონის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დამუშავება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ლითონის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ცხლად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დამუშავება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სამჭედლო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გრდემლით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დამცავი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ლითონის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ფენით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დაფარვა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50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ტონა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წარმადობით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4.4.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ელექტროლიტური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ქიმიური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პროცესის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10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Sylfaen" w:hAnsi="Sylfaen" w:cs="Sylfaen"/>
          <w:color w:val="000000"/>
          <w:position w:val="12"/>
          <w:sz w:val="24"/>
          <w:szCs w:val="24"/>
          <w:shd w:val="clear" w:color="auto" w:fill="FFFFFF"/>
          <w:lang w:val="ka-GE" w:eastAsia="ka-GE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მოცულობის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ავზში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ლითონის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პლასტიკური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მასალის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ზედაპირული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წმენდა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4.5.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მანქანათმშენ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ებლობა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ძრავიანი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სატრანსპორტო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საშუალების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აწყობა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სატრანსპორტო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საშუალების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ძრავის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გამოწნეხა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368" w:hanging="65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აგლომერირება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80" w:hanging="796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ქვანახშირის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დაკოქსვა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ასფალტის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თაბაშირის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აზბესტის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აზბესტშემცველი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ბოჭკოს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5.7.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კერამიკული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თიხის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ტრადიციული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წესით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საოჯახო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მეურნეობაში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წარმოებისა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)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კერამიკული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პროდუქციის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კერძოდ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კრამიტის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აგურის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ცეცხლგამძლე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აგურის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ფილის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ფაიფურის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80" w:hanging="796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საღებავების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პეროქსიდის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ელასტომერის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990" w:hanging="706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7.1.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color w:val="FF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25 00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მცენარეული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ცხოველური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ცხიმის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7.2.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ცხოველური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მცენარეული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დაკონსერვება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წელიწადში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25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000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ტონა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პროდუქციის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ღამეში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საკონდიტრო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სასაკლაოს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35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008" w:hanging="724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ტექსტილის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ტყავის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მუყაოს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საფეიქრო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ბოჭკოს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მერსერიზაცია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თრიმლვა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ცელულოზის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900" w:hanging="616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ინფრასტრუქტურული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9.1. 10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9.2. 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ჰექტარზე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ურბანული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ავტოპარკ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9.3.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საკონტეინერო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ტერმინალისა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მასთან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დაკავშირებული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სარკინიგზო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ხაზის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ექსპლუატაცია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აეროდრომის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9.5.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საზღვაო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ნავსადგურისა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მასთან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დაკავშირებული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შენობა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ნაგებობის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რომლის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საპროექტო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განაშენიანების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ფართ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ობი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ჰექტარზე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9.6.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2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კილომეტრი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სიგრძის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საკანალიზაციო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სისტემის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საკანალიზაციო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სისტემის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განაშენიანების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მქონე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მოწყობა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შიდასამდინარო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წყალდიდობისა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დატბორვის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9.9.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კაშხლის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სხვა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ნაგებობის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მოწყობილობის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რომლის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მიზანშეწონილია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შეკავების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გრძელვადიანი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დაგროვების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რომლის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შეკავებული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დაგროვებული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წყლის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მოცულობა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</w:t>
      </w:r>
      <w:r>
        <w:rPr>
          <w:rFonts w:ascii="Times New Roman" w:hAnsi="Times New Roman" w:cs="Times New Roman"/>
          <w:position w:val="12"/>
          <w:sz w:val="24"/>
          <w:szCs w:val="24"/>
          <w:shd w:val="clear" w:color="auto" w:fill="FFFFFF"/>
          <w:lang w:val="ka-GE" w:eastAsia="ka-GE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ტრამვაის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საბაგირო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9.11.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5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კილომეტრზე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მეტი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სიგრძის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მილსადენის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გაყვანა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ნავთობის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გაზის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ნახშირბადის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დიოქსიდის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(CO</w:t>
      </w:r>
      <w:r>
        <w:rPr>
          <w:rFonts w:ascii="Times New Roman" w:hAnsi="Times New Roman" w:cs="Times New Roman"/>
          <w:color w:val="000000"/>
          <w:position w:val="-12"/>
          <w:sz w:val="24"/>
          <w:szCs w:val="24"/>
          <w:shd w:val="clear" w:color="auto" w:fill="FFFFFF"/>
          <w:lang w:val="ka-GE" w:eastAsia="ka-G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ტრანსპორტირების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9.12. 1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კილომეტრი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სიგრძის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აკვედუკის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ნაპირდაცვითი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ეროზიის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შესაკავებლად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დამბის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ებირის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მიწაყრილის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ზღვისგან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სარეკონსტრუქციო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080" w:hanging="796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: 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10.1. 15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10.5. 10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გამწმენდი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შლამსაცავის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402C0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08" w:hanging="724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ტურიზმი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დასვენება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731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11.1. 5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სათხილამურო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საბაგირო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ტრასის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731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11.2.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ქალაქგარეთ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ჰექტარ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დასასვენებელი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მათ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სასტუმროსა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მასთან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დაკავშირებული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მშენებლობა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73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11.3. 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ჰექტარზე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მეტ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ფართობზე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მუდმივი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საბანაკო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საქარავნო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ადგილების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8402C0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 w:hanging="73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11.4. 10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ატრაქციონების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ნაშენ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გამწვანებულ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დასასვენებელი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საკემპინგე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საბანაო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ღეობის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№1521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840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02C0"/>
    <w:rsid w:val="008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after="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720"/>
      <w:jc w:val="both"/>
    </w:pPr>
    <w:rPr>
      <w:rFonts w:ascii="AcadNusx" w:hAnsi="AcadNusx" w:cs="AcadNusx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cadNusx" w:hAnsi="AcadNusx" w:cs="AcadNusx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abzacixml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uiPriority w:val="99"/>
  </w:style>
  <w:style w:type="character" w:styleId="SubtleReference">
    <w:name w:val="Subtle Reference"/>
    <w:basedOn w:val="DefaultParagraphFont"/>
    <w:uiPriority w:val="99"/>
    <w:qFormat/>
    <w:rPr>
      <w:color w:val="5A5A5A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</w:rPr>
  </w:style>
  <w:style w:type="paragraph" w:customStyle="1" w:styleId="doc-ti">
    <w:name w:val="doc-ti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cs="Georgia"/>
      <w:i/>
      <w:iCs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position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23527</Words>
  <Characters>134105</Characters>
  <Application>Microsoft Office Word</Application>
  <DocSecurity>0</DocSecurity>
  <Lines>1117</Lines>
  <Paragraphs>314</Paragraphs>
  <ScaleCrop>false</ScaleCrop>
  <Company/>
  <LinksUpToDate>false</LinksUpToDate>
  <CharactersWithSpaces>157318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