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კანონი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ინტელექტუალურ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საკუთრებასთან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დაკავშირებულ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სასაზღვრო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ka-GE" w:eastAsia="ka-GE"/>
        </w:rPr>
        <w:t>შესახებ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right="49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right="4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line="240" w:lineRule="auto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</w:p>
    <w:p w:rsidR="00000000" w:rsidRDefault="0032545C">
      <w:pPr>
        <w:tabs>
          <w:tab w:val="right" w:pos="709"/>
          <w:tab w:val="left" w:pos="9923"/>
          <w:tab w:val="left" w:pos="10200"/>
          <w:tab w:val="left" w:pos="10880"/>
          <w:tab w:val="left" w:pos="11560"/>
          <w:tab w:val="left" w:pos="12240"/>
          <w:tab w:val="left" w:pos="12920"/>
          <w:tab w:val="left" w:pos="13600"/>
          <w:tab w:val="left" w:pos="14280"/>
          <w:tab w:val="left" w:pos="14960"/>
          <w:tab w:val="left" w:pos="15640"/>
          <w:tab w:val="left" w:pos="16320"/>
          <w:tab w:val="left" w:pos="17000"/>
          <w:tab w:val="left" w:pos="17680"/>
        </w:tabs>
        <w:spacing w:after="0" w:line="240" w:lineRule="auto"/>
        <w:ind w:firstLine="68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რეექსპორტისა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მსოფლიო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კონტრაფაქცი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უნებართვოდაა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სტიკერი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ბროშურა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სამგანზომილებიანი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განლაგების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მცენარის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lastRenderedPageBreak/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გამოგონებაზე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გეოგრაფიულ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–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კუთრების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სპეციფიკურ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მარტივდება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სატრანსპორტო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რამდენჯერმე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პარტიის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სერტიფიკატის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სალიცენზიო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მალფუჭებადი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საქპატენტს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შესაჩერებელი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2545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10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ივარაუდოს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მალფუჭებადი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7.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გახარჯული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მალფუჭებადი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20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b/>
          <w:bCs/>
          <w:sz w:val="40"/>
          <w:szCs w:val="40"/>
          <w:lang w:eastAsia="x-none"/>
        </w:rPr>
        <w:t>(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მიკროსქემის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ტოპოლოგიაზე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სელექციონერის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2545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>)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ნადგურდება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მალფუჭებადი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მიუღწევლობისას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ექსპორტიორი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გასანადგურებელი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ამსახველი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ფოტოსურათის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სასწავლო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გასანადგ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გამოსახულების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ანაბეჭდისა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შეფუთვის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ჰუმანიტარული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საქველმოქმედო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სიცოცხლეს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სამართალდამცავი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-10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საგარანტიო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28.06.2019.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№4912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2019 </w:t>
      </w:r>
      <w:r>
        <w:rPr>
          <w:rFonts w:ascii="Sylfaen" w:eastAsia="Times New Roman" w:hAnsi="Sylfaen" w:cs="Sylfaen"/>
          <w:sz w:val="20"/>
          <w:szCs w:val="20"/>
          <w:lang w:eastAsia="x-none"/>
        </w:rPr>
        <w:t>წლის</w:t>
      </w:r>
      <w:r>
        <w:rPr>
          <w:rFonts w:ascii="Sylfaen" w:eastAsia="Times New Roman" w:hAnsi="Sylfaen" w:cs="Sylfaen"/>
          <w:sz w:val="20"/>
          <w:szCs w:val="20"/>
          <w:lang w:eastAsia="x-non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b/>
          <w:bCs/>
          <w:sz w:val="40"/>
          <w:szCs w:val="40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განუხორციელებლობა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მოქმედებიდან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ხელბარგში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მოხმარებისათვის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ორიგინალ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ამოქმედებისთანავე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სასაზღვრო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№2159-</w:t>
      </w:r>
      <w:r>
        <w:rPr>
          <w:rFonts w:ascii="Sylfaen" w:hAnsi="Sylfaen" w:cs="Sylfaen"/>
          <w:sz w:val="24"/>
          <w:szCs w:val="24"/>
          <w:lang w:eastAsia="x-none"/>
        </w:rPr>
        <w:t>II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№31(38),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163).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იორგი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მარგველაშვილი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2017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№1723-</w:t>
      </w:r>
      <w:r>
        <w:rPr>
          <w:rFonts w:ascii="Sylfaen" w:hAnsi="Sylfaen" w:cs="Sylfaen"/>
          <w:sz w:val="24"/>
          <w:szCs w:val="24"/>
          <w:lang w:eastAsia="x-none"/>
        </w:rPr>
        <w:t>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:rsidR="00000000" w:rsidRDefault="0032545C">
      <w:pPr>
        <w:tabs>
          <w:tab w:val="left" w:pos="709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20"/>
          <w:tab w:val="left" w:pos="6800"/>
          <w:tab w:val="left" w:pos="7480"/>
          <w:tab w:val="left" w:pos="8160"/>
          <w:tab w:val="left" w:pos="8840"/>
          <w:tab w:val="left" w:pos="9520"/>
        </w:tabs>
        <w:spacing w:after="0" w:line="240" w:lineRule="auto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32545C"/>
    <w:rsid w:val="0032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  <w:szCs w:val="22"/>
    </w:rPr>
  </w:style>
  <w:style w:type="paragraph" w:styleId="Revision">
    <w:name w:val="Revision"/>
    <w:basedOn w:val="Normal0"/>
    <w:uiPriority w:val="99"/>
    <w:pPr>
      <w:widowControl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4055</Words>
  <Characters>23117</Characters>
  <Application>Microsoft Office Word</Application>
  <DocSecurity>0</DocSecurity>
  <Lines>192</Lines>
  <Paragraphs>54</Paragraphs>
  <ScaleCrop>false</ScaleCrop>
  <Company/>
  <LinksUpToDate>false</LinksUpToDate>
  <CharactersWithSpaces>27118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2022-08-16T16:59:00Z</dcterms:created>
  <dcterms:modified xsi:type="dcterms:W3CDTF">2022-08-16T16:59:00Z</dcterms:modified>
</cp:coreProperties>
</file>