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>ცვლილებები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>საქართველოს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>12/19/2019 N 5619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u w:val="single"/>
          <w:lang w:val="en-US"/>
        </w:rPr>
      </w:pPr>
      <w:r>
        <w:rPr>
          <w:rFonts w:ascii="Sylfaen" w:eastAsia="Times New Roman" w:hAnsi="Sylfaen" w:cs="Sylfaen"/>
          <w:sz w:val="24"/>
          <w:szCs w:val="24"/>
          <w:u w:val="single"/>
          <w:lang w:val="en-US"/>
        </w:rPr>
        <w:t>კანონით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28/12/2017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290120000.05.001.018713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მოძრავი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რეგისტრირებული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საშუალების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მფლობელი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ძრავიანი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დაბნევით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გადმოვარდნით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შეჯიბრების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მანევრით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გადატრიალებით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მიხედვით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მოტოციკლისათვის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sz w:val="24"/>
          <w:szCs w:val="24"/>
          <w:lang w:eastAsia="x-none"/>
        </w:rPr>
        <w:t>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–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დასასხდომი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295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ავტობუსისათვის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დასასხდომი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480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610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ზიანისთვის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ზიანისთვის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შეაკეთოს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„112“-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დაელოდოს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გასაანგარიშებლად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ანაზღაურებისთვისაა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წაუყენოს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2 500 000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2 500 000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10.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ფილიალსა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გაიანგარიშოს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ანაწილებული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გამოუმუშავებელი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განუცხადებელი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კონფიდენციალურობა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გადაადგილებისათვის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ბები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N1775-I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D0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0CB1"/>
    <w:rsid w:val="00A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5677</Words>
  <Characters>32364</Characters>
  <Application>Microsoft Office Word</Application>
  <DocSecurity>0</DocSecurity>
  <Lines>269</Lines>
  <Paragraphs>75</Paragraphs>
  <ScaleCrop>false</ScaleCrop>
  <Company/>
  <LinksUpToDate>false</LinksUpToDate>
  <CharactersWithSpaces>37966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