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I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№1574)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დაზვერვის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lastRenderedPageBreak/>
        <w:t>(0</w:t>
      </w:r>
      <w:r>
        <w:rPr>
          <w:rFonts w:ascii="Sylfaen" w:hAnsi="Sylfaen" w:cs="Sylfaen"/>
          <w:sz w:val="20"/>
          <w:szCs w:val="20"/>
          <w:lang w:val="en-US"/>
        </w:rPr>
        <w:t xml:space="preserve">5.09.2018.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№338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4401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პრეზიდიუმ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წევრზე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ანალიტიკოსზე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st-ZA" w:eastAsia="st-ZA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74)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6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დასაკმაყოფილებელი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ნამსახურები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გრიფის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6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st-ZA" w:eastAsia="st-ZA"/>
        </w:rPr>
        <w:t xml:space="preserve">   </w:t>
      </w:r>
      <w:r>
        <w:rPr>
          <w:rFonts w:ascii="Sylfaen" w:hAnsi="Sylfaen" w:cs="Sylfaen"/>
          <w:sz w:val="24"/>
          <w:szCs w:val="24"/>
          <w:lang w:val="en-US"/>
        </w:rPr>
        <w:t>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გადააჭარბებს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იკავებს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hAnsi="Sylfaen" w:cs="Sylfaen"/>
          <w:sz w:val="24"/>
          <w:szCs w:val="24"/>
          <w:lang w:val="st-ZA" w:eastAsia="st-ZA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№1574)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ზედმიწევნით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 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მათდამი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II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აურება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№1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№1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№2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tbl>
      <w:tblPr>
        <w:tblW w:w="0" w:type="auto"/>
        <w:tblInd w:w="544" w:type="dxa"/>
        <w:tblLayout w:type="fixed"/>
        <w:tblLook w:val="0000" w:firstRow="0" w:lastRow="0" w:firstColumn="0" w:lastColumn="0" w:noHBand="0" w:noVBand="0"/>
      </w:tblPr>
      <w:tblGrid>
        <w:gridCol w:w="1198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5"/>
        <w:gridCol w:w="675"/>
        <w:gridCol w:w="675"/>
      </w:tblGrid>
      <w:tr w:rsidR="00000000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მოხელის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კლასი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12</w:t>
            </w:r>
          </w:p>
        </w:tc>
      </w:tr>
      <w:tr w:rsidR="00000000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საკლასო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დანამატის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განაკვეთი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1%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2%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3%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4%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5%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6%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7%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8%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15%</w:t>
            </w:r>
          </w:p>
        </w:tc>
      </w:tr>
    </w:tbl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№5718)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ზედმიწევნით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ზედმიწევნით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კოეფიციე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ზედმიწევნით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156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ზეგანაკვეთური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დეფიციტურია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2018–2020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2019-2020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“;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2018–2020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№2639)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 2018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–2020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№2639)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7. 2018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№1202-I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13, 12.04.2005,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89);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>1212-</w:t>
      </w:r>
      <w:r>
        <w:rPr>
          <w:rFonts w:ascii="Sylfaen" w:hAnsi="Sylfaen" w:cs="Sylfaen"/>
          <w:sz w:val="24"/>
          <w:szCs w:val="24"/>
          <w:lang w:val="en-US"/>
        </w:rPr>
        <w:t>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13, 12.04.2005,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90).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ედება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</w:t>
      </w:r>
      <w:r>
        <w:rPr>
          <w:rFonts w:ascii="Sylfaen" w:hAnsi="Sylfaen" w:cs="Sylfaen"/>
          <w:sz w:val="20"/>
          <w:szCs w:val="20"/>
          <w:lang w:val="en-US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მარგველაშვილი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22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№1825-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  <w:sectPr w:rsidR="00000000">
          <w:pgSz w:w="12240" w:h="15840"/>
          <w:pgMar w:top="1138" w:right="1138" w:bottom="1138" w:left="1138" w:header="708" w:footer="708" w:gutter="0"/>
          <w:cols w:space="720"/>
          <w:noEndnote/>
        </w:sect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right"/>
        <w:rPr>
          <w:rFonts w:ascii="Sylfaen" w:hAnsi="Sylfaen" w:cs="Sylfaen"/>
          <w:b/>
          <w:bCs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u w:val="single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sz w:val="24"/>
          <w:szCs w:val="24"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u w:val="single"/>
          <w:lang w:val="en-US"/>
        </w:rPr>
        <w:t>№</w:t>
      </w:r>
      <w:r>
        <w:rPr>
          <w:rFonts w:ascii="Sylfaen" w:hAnsi="Sylfaen" w:cs="Sylfaen"/>
          <w:b/>
          <w:bCs/>
          <w:sz w:val="24"/>
          <w:szCs w:val="24"/>
          <w:u w:val="single"/>
          <w:lang w:val="ka-GE" w:eastAsia="ka-GE"/>
        </w:rPr>
        <w:t>1</w:t>
      </w: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ცხრილი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№1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640"/>
        <w:gridCol w:w="1674"/>
        <w:gridCol w:w="3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87"/>
        <w:gridCol w:w="674"/>
      </w:tblGrid>
      <w:tr w:rsidR="00000000">
        <w:trPr>
          <w:trHeight w:val="20"/>
          <w:tblHeader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თანამდებობის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იერარქიული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რანგი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თანამდებობათა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იერარქია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თანამდებობის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დასახელება</w:t>
            </w:r>
          </w:p>
        </w:tc>
        <w:tc>
          <w:tcPr>
            <w:tcW w:w="69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სახელფასო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კოეფიციენტების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კატეგორიები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თანამდებობრივი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სარგოებისათვის</w:t>
            </w:r>
          </w:p>
        </w:tc>
      </w:tr>
      <w:tr w:rsidR="00000000">
        <w:trPr>
          <w:trHeight w:val="368"/>
          <w:tblHeader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10</w:t>
            </w:r>
          </w:p>
        </w:tc>
      </w:tr>
      <w:tr w:rsidR="00000000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პირველადი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სტრუქტურული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3.30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3.80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4.40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5.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6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6.00</w:t>
            </w:r>
          </w:p>
        </w:tc>
      </w:tr>
      <w:tr w:rsidR="00000000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პირველადი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სტრუქტურული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3.20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3.60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4.50</w:t>
            </w:r>
          </w:p>
        </w:tc>
      </w:tr>
      <w:tr w:rsidR="00000000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ადი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სტრუქტურული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3.50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4.00</w:t>
            </w:r>
          </w:p>
        </w:tc>
      </w:tr>
      <w:tr w:rsidR="00000000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2.80</w:t>
            </w:r>
          </w:p>
        </w:tc>
      </w:tr>
      <w:tr w:rsidR="00000000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2.20</w:t>
            </w:r>
          </w:p>
        </w:tc>
      </w:tr>
      <w:tr w:rsidR="00000000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მესამე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1.80</w:t>
            </w:r>
          </w:p>
        </w:tc>
      </w:tr>
      <w:tr w:rsidR="00000000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უმცროსი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თანამდებობა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1.50</w:t>
            </w:r>
          </w:p>
        </w:tc>
      </w:tr>
      <w:tr w:rsidR="00000000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უმცროსი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1.20</w:t>
            </w:r>
          </w:p>
        </w:tc>
      </w:tr>
      <w:tr w:rsidR="00000000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მესამე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უმცროსი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1.00</w:t>
            </w:r>
          </w:p>
        </w:tc>
      </w:tr>
    </w:tbl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br w:type="page"/>
      </w: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right"/>
        <w:rPr>
          <w:rFonts w:ascii="Sylfaen" w:hAnsi="Sylfaen" w:cs="Sylfaen"/>
          <w:b/>
          <w:bCs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u w:val="single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sz w:val="24"/>
          <w:szCs w:val="24"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u w:val="single"/>
          <w:lang w:val="en-US"/>
        </w:rPr>
        <w:t>№</w:t>
      </w:r>
      <w:r>
        <w:rPr>
          <w:rFonts w:ascii="Sylfaen" w:hAnsi="Sylfaen" w:cs="Sylfaen"/>
          <w:b/>
          <w:bCs/>
          <w:sz w:val="24"/>
          <w:szCs w:val="24"/>
          <w:u w:val="single"/>
          <w:lang w:val="ka-GE" w:eastAsia="ka-GE"/>
        </w:rPr>
        <w:t>2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ცხრ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№2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838"/>
        <w:gridCol w:w="1781"/>
        <w:gridCol w:w="3417"/>
        <w:gridCol w:w="701"/>
        <w:gridCol w:w="702"/>
        <w:gridCol w:w="636"/>
        <w:gridCol w:w="696"/>
        <w:gridCol w:w="705"/>
        <w:gridCol w:w="701"/>
        <w:gridCol w:w="637"/>
        <w:gridCol w:w="698"/>
        <w:gridCol w:w="709"/>
        <w:gridCol w:w="739"/>
      </w:tblGrid>
      <w:tr w:rsidR="00000000">
        <w:trPr>
          <w:trHeight w:val="600"/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თანამდებობის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იერარქიული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რანგი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თანამდებობათა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იერარქია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თანამდებობის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დასახელება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სახელფასო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კოეფიციენტების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კატეგორიები</w:t>
            </w:r>
          </w:p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თანამდებობრივი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სარგოებისათვის</w:t>
            </w:r>
          </w:p>
        </w:tc>
      </w:tr>
      <w:tr w:rsidR="00000000">
        <w:trPr>
          <w:trHeight w:val="300"/>
          <w:tblHeader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10</w:t>
            </w:r>
          </w:p>
        </w:tc>
      </w:tr>
      <w:tr w:rsidR="00000000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პირველადი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სტრუქტურული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3.20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3.50</w:t>
            </w:r>
          </w:p>
        </w:tc>
      </w:tr>
      <w:tr w:rsidR="00000000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პირველადი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სტრუქტურული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2.90</w:t>
            </w:r>
          </w:p>
        </w:tc>
      </w:tr>
      <w:tr w:rsidR="00000000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ადი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სტრუქტურული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2.80</w:t>
            </w:r>
          </w:p>
        </w:tc>
      </w:tr>
      <w:tr w:rsidR="00000000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2.00</w:t>
            </w:r>
          </w:p>
        </w:tc>
      </w:tr>
      <w:tr w:rsidR="00000000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4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5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6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7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1.80</w:t>
            </w:r>
          </w:p>
        </w:tc>
      </w:tr>
      <w:tr w:rsidR="00000000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მესამე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1.60</w:t>
            </w:r>
          </w:p>
        </w:tc>
      </w:tr>
      <w:tr w:rsidR="00000000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უმცრ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თანამდებობა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1.40</w:t>
            </w:r>
          </w:p>
        </w:tc>
      </w:tr>
      <w:tr w:rsidR="00000000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უმცროსი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1.00</w:t>
            </w:r>
          </w:p>
        </w:tc>
      </w:tr>
      <w:tr w:rsidR="00000000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240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დაწესებულების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მესამე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კატეგორიის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უმცრო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0.80</w:t>
            </w:r>
          </w:p>
        </w:tc>
      </w:tr>
    </w:tbl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br w:type="page"/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b/>
          <w:bCs/>
          <w:sz w:val="24"/>
          <w:szCs w:val="24"/>
          <w:lang w:val="ka-GE" w:eastAsia="ka-GE"/>
        </w:rPr>
        <w:sectPr w:rsidR="00000000">
          <w:pgSz w:w="12240" w:h="15840" w:orient="landscape"/>
          <w:pgMar w:top="1138" w:right="1138" w:bottom="1138" w:left="1138" w:header="706" w:footer="706" w:gutter="0"/>
          <w:cols w:space="720"/>
          <w:noEndnote/>
        </w:sect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righ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№3</w:t>
      </w: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7308"/>
        <w:gridCol w:w="2268"/>
      </w:tblGrid>
      <w:tr w:rsidR="00000000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სახელმწიფო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პოლიტიკური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თანამდებობის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პირები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თანამდებობრივი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სარგოს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ზედა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ზღვრის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კოეფიციენტი</w:t>
            </w:r>
          </w:p>
        </w:tc>
      </w:tr>
      <w:tr w:rsidR="00000000">
        <w:trPr>
          <w:trHeight w:val="60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პრეზიდენტი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10.00</w:t>
            </w:r>
          </w:p>
        </w:tc>
      </w:tr>
      <w:tr w:rsidR="00000000">
        <w:trPr>
          <w:trHeight w:val="48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10.00</w:t>
            </w:r>
          </w:p>
        </w:tc>
      </w:tr>
      <w:tr w:rsidR="00000000">
        <w:trPr>
          <w:trHeight w:val="51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პრემიერ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10.00</w:t>
            </w:r>
          </w:p>
        </w:tc>
      </w:tr>
      <w:tr w:rsidR="00000000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9.20</w:t>
            </w:r>
          </w:p>
        </w:tc>
      </w:tr>
      <w:tr w:rsidR="00000000">
        <w:trPr>
          <w:trHeight w:val="53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9.00</w:t>
            </w:r>
          </w:p>
        </w:tc>
      </w:tr>
      <w:tr w:rsidR="00000000">
        <w:trPr>
          <w:trHeight w:val="53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კომიტეტის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8.60</w:t>
            </w:r>
          </w:p>
        </w:tc>
      </w:tr>
      <w:tr w:rsidR="00000000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საპარლამენტო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ფრაქციის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8.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5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</w:p>
        </w:tc>
      </w:tr>
      <w:tr w:rsidR="00000000">
        <w:trPr>
          <w:trHeight w:val="60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8.50</w:t>
            </w:r>
          </w:p>
        </w:tc>
      </w:tr>
      <w:tr w:rsidR="00000000">
        <w:trPr>
          <w:trHeight w:val="48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რესპუბ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ლიკის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უმაღლესი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საბჭოს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8.50</w:t>
            </w:r>
          </w:p>
        </w:tc>
      </w:tr>
      <w:tr w:rsidR="00000000">
        <w:trPr>
          <w:trHeight w:val="53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რესპუბლიკის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მთავრობის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8.50</w:t>
            </w:r>
          </w:p>
        </w:tc>
      </w:tr>
      <w:tr w:rsidR="00000000">
        <w:trPr>
          <w:trHeight w:val="7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კომიტეტის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8.30</w:t>
            </w:r>
          </w:p>
        </w:tc>
      </w:tr>
      <w:tr w:rsidR="00000000">
        <w:trPr>
          <w:trHeight w:val="7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საპარლამენტო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ფრაქციის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8.30</w:t>
            </w:r>
          </w:p>
        </w:tc>
      </w:tr>
      <w:tr w:rsidR="00000000">
        <w:trPr>
          <w:trHeight w:val="62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კომიტეტის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8.20</w:t>
            </w:r>
          </w:p>
        </w:tc>
      </w:tr>
      <w:tr w:rsidR="00000000">
        <w:trPr>
          <w:trHeight w:val="6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საპარლამენტო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ფრაქციის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8.10</w:t>
            </w:r>
          </w:p>
        </w:tc>
      </w:tr>
      <w:tr w:rsidR="00000000">
        <w:trPr>
          <w:trHeight w:val="53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პარლამენტის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წევრი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8.00</w:t>
            </w:r>
          </w:p>
        </w:tc>
      </w:tr>
      <w:tr w:rsidR="00000000">
        <w:trPr>
          <w:trHeight w:val="62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7.50</w:t>
            </w:r>
          </w:p>
        </w:tc>
      </w:tr>
      <w:tr w:rsidR="00000000">
        <w:trPr>
          <w:trHeight w:val="62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საქართველოს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სახელმ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წიფო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7.25</w:t>
            </w:r>
          </w:p>
        </w:tc>
      </w:tr>
      <w:tr w:rsidR="00000000">
        <w:trPr>
          <w:trHeight w:val="7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რესპუბლიკის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უმაღლესი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საბჭოს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6.50</w:t>
            </w:r>
          </w:p>
        </w:tc>
      </w:tr>
      <w:tr w:rsidR="00000000">
        <w:trPr>
          <w:trHeight w:val="7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რესპუბლიკის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უმაღლესი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საბჭოს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კომიტეტის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ფრაქციის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6.00</w:t>
            </w:r>
          </w:p>
        </w:tc>
      </w:tr>
      <w:tr w:rsidR="00000000">
        <w:trPr>
          <w:trHeight w:val="53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რესპუბლიკის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6.00</w:t>
            </w:r>
          </w:p>
        </w:tc>
      </w:tr>
      <w:tr w:rsidR="00000000">
        <w:trPr>
          <w:trHeight w:val="4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რესპუბლიკის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5.25</w:t>
            </w:r>
          </w:p>
        </w:tc>
      </w:tr>
      <w:tr w:rsidR="00000000">
        <w:trPr>
          <w:trHeight w:val="78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რესპუბლიკის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უმაღლესი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საბჭოს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კომიტეტის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ფრაქციის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5.00</w:t>
            </w:r>
          </w:p>
        </w:tc>
      </w:tr>
      <w:tr w:rsidR="00000000">
        <w:trPr>
          <w:trHeight w:val="53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რესპუბლიკის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მინისტრის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მოადგილე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5.00</w:t>
            </w:r>
          </w:p>
        </w:tc>
      </w:tr>
      <w:tr w:rsidR="00000000">
        <w:trPr>
          <w:trHeight w:val="53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ავტონომიური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რესპუბლიკის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უმაღლესი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საბჭოს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წევრი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8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5.00</w:t>
            </w:r>
          </w:p>
        </w:tc>
      </w:tr>
    </w:tbl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                                                                         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right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2639)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val="en-US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№4.1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0000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პოლიტიკური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ზედა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ზღვრის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კოეფიციენტი</w:t>
            </w:r>
          </w:p>
        </w:tc>
      </w:tr>
      <w:tr w:rsidR="0000000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თბილისის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მერი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8.50</w:t>
            </w:r>
          </w:p>
        </w:tc>
      </w:tr>
      <w:tr w:rsidR="0000000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თბილისის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თავმჯდომარე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8.50</w:t>
            </w:r>
          </w:p>
        </w:tc>
      </w:tr>
      <w:tr w:rsidR="0000000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თბილისის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ციპალიტეტის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მოადგილე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7.5</w:t>
            </w:r>
          </w:p>
        </w:tc>
      </w:tr>
      <w:tr w:rsidR="0000000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 7.25</w:t>
            </w:r>
          </w:p>
        </w:tc>
      </w:tr>
      <w:tr w:rsidR="0000000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თბილისის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მოადგილე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 7.25</w:t>
            </w:r>
          </w:p>
        </w:tc>
      </w:tr>
      <w:tr w:rsidR="0000000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თბილისის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მოადგილე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6.5</w:t>
            </w:r>
          </w:p>
        </w:tc>
      </w:tr>
      <w:tr w:rsidR="00000000">
        <w:trPr>
          <w:trHeight w:val="21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თბილისის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ოადგილე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6.00</w:t>
            </w:r>
          </w:p>
        </w:tc>
      </w:tr>
      <w:tr w:rsidR="00000000">
        <w:trPr>
          <w:trHeight w:val="22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რწმუნებულის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მოადგილე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5.50</w:t>
            </w:r>
          </w:p>
        </w:tc>
      </w:tr>
      <w:tr w:rsidR="00000000">
        <w:trPr>
          <w:trHeight w:val="15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მოადგილე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5.00</w:t>
            </w:r>
          </w:p>
        </w:tc>
      </w:tr>
      <w:tr w:rsidR="00000000">
        <w:trPr>
          <w:trHeight w:val="22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თბილისის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კომისიის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ფრაქციის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თავმჯდომარე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5.00</w:t>
            </w:r>
          </w:p>
        </w:tc>
      </w:tr>
      <w:tr w:rsidR="00000000">
        <w:trPr>
          <w:trHeight w:val="23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თბილისის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ფრაქციის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მოადგილე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4.00</w:t>
            </w:r>
          </w:p>
        </w:tc>
      </w:tr>
    </w:tbl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ცხრილი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№4.2</w:t>
      </w:r>
    </w:p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6"/>
        <w:gridCol w:w="3474"/>
      </w:tblGrid>
      <w:tr w:rsidR="00000000"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მუნიციპალიტეტების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გარდა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ქალაქ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თბილისის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მუნიციპალიტეტისა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)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პოლიტიკური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თანამდებობის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პირები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თანამდებობრივი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სარგოს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ზედა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ზღვრის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x-none"/>
              </w:rPr>
              <w:t>კოეფიციენტი</w:t>
            </w:r>
          </w:p>
        </w:tc>
      </w:tr>
      <w:tr w:rsidR="00000000"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აღმასრულებელი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ორგანოს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ხელმძღვანელი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6.0</w:t>
            </w:r>
          </w:p>
        </w:tc>
      </w:tr>
      <w:tr w:rsidR="00000000"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საკრებულოს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თავმჯდომარე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6.0</w:t>
            </w:r>
          </w:p>
        </w:tc>
      </w:tr>
      <w:tr w:rsidR="00000000"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აღმასრულებელი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ორგანოს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ხელმ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ძღვანელის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პირველი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მოადგილე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5.0</w:t>
            </w:r>
          </w:p>
        </w:tc>
      </w:tr>
      <w:tr w:rsidR="00000000"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საკრებულოს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თავმჯდომარის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პირველი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მოადგილე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5.0</w:t>
            </w:r>
          </w:p>
        </w:tc>
      </w:tr>
      <w:tr w:rsidR="00000000"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აღმასრულებელი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ორგანოს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ხელმძღვანელის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მოადგილე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4.5</w:t>
            </w:r>
          </w:p>
        </w:tc>
      </w:tr>
      <w:tr w:rsidR="00000000"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საკრებულოს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თავმჯდომარის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მოადგილე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4.5</w:t>
            </w:r>
          </w:p>
        </w:tc>
      </w:tr>
      <w:tr w:rsidR="00000000"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საკრებულოს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კომისიის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ფრაქციის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თავმჯდომარე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4.5</w:t>
            </w:r>
          </w:p>
        </w:tc>
      </w:tr>
      <w:tr w:rsidR="00000000"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საკრებულოს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ფრაქციის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თავმჯდომარის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მოადგ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ილე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33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2.5</w:t>
            </w:r>
          </w:p>
        </w:tc>
      </w:tr>
    </w:tbl>
    <w:p w:rsidR="00000000" w:rsidRDefault="00433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color w:val="000000"/>
          <w:sz w:val="20"/>
          <w:szCs w:val="20"/>
          <w:lang w:eastAsia="x-non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433C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06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3CDB"/>
    <w:rsid w:val="004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uxlixml">
    <w:name w:val="muxl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7468</Words>
  <Characters>42572</Characters>
  <Application>Microsoft Office Word</Application>
  <DocSecurity>0</DocSecurity>
  <Lines>354</Lines>
  <Paragraphs>99</Paragraphs>
  <ScaleCrop>false</ScaleCrop>
  <Company/>
  <LinksUpToDate>false</LinksUpToDate>
  <CharactersWithSpaces>49941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