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კონსტიტუციური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right"/>
        <w:rPr>
          <w:rFonts w:ascii="Sylfaen" w:hAnsi="Sylfaen" w:cs="Sylfaen"/>
          <w:sz w:val="24"/>
          <w:szCs w:val="24"/>
          <w:lang w:eastAsia="x-none"/>
        </w:rPr>
      </w:pPr>
      <w:bookmarkStart w:id="0" w:name="part_1"/>
      <w:bookmarkEnd w:id="0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კონსტიტუციაში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1995, №№31-33,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668)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hyperlink r:id="rId4" w:history="1">
        <w:r>
          <w:rPr>
            <w:rFonts w:ascii="Sylfaen" w:eastAsia="Times New Roman" w:hAnsi="Sylfaen" w:cs="Sylfaen"/>
            <w:b/>
            <w:bCs/>
            <w:sz w:val="28"/>
            <w:szCs w:val="28"/>
            <w:lang w:eastAsia="x-none"/>
          </w:rPr>
          <w:t>საქართველოს კონსტიტუცია</w:t>
        </w:r>
      </w:hyperlink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(23.03.2018.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№2071)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ურყევი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დავამკვიდროთ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წესწყობილება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უზრუნველვყოთ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განვამტკიცოთ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მშვიდობიანი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მრავალსაუკუნოვანი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ლმწიფოებრიობის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ვაცხადებთ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bookmarkStart w:id="1" w:name="part_2"/>
      <w:bookmarkEnd w:id="1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hyperlink r:id="rId5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თავი პირველი. ზოგადი დებულებები</w:t>
        </w:r>
      </w:hyperlink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</w:p>
    <w:bookmarkStart w:id="2" w:name="part_3"/>
    <w:bookmarkEnd w:id="2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 1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სუვერენიტეტი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თანამეგობრობისა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მეზობელ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სიმბოლოები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3" w:name="part_4"/>
      <w:bookmarkEnd w:id="3"/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დედაქალაქი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ჰიმნი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გადაისინჯება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გადასინჯვისთვის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4" w:name="part_10"/>
    <w:bookmarkEnd w:id="4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მუხლი 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მიითვისოს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შიდაპარტიული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კრატიის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6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 xml:space="preserve">მუხლი 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მოხსენიებული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იერარქია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7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განმტკიცებაზე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ფასეულობებისა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თვითმყოფადობის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თანამემამულეების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სამშობლოსთან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5" w:name="part_5"/>
      <w:bookmarkEnd w:id="5"/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8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მრეწველობა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კრიმინალური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კორდონი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მოჭრა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რკინიგზა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კავშირგაბმულობა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კონტინენტური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ნავსადგურები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ოკეანესა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მეტეოროლოგია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ეტალონები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გეოდეზია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გადაისინჯება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სუბსიდიარობის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ანაკლიაში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აღმსარებლობის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ავტოკეფალ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bookmarkStart w:id="6" w:name="part_14"/>
      <w:bookmarkEnd w:id="6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9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თავი მეორე. ადამიანის ძირითადი უფლებ</w:t>
        </w:r>
      </w:hyperlink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7" w:name="part_15"/>
      <w:bookmarkEnd w:id="7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ხელშეუვალობა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დამამცი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დასჯა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შეინარჩუ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განავითარონ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მამაკაცებისა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მამაკაცებისა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8" w:name="part_19"/>
      <w:bookmarkEnd w:id="8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0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bookmarkStart w:id="9" w:name="part_21"/>
      <w:bookmarkEnd w:id="9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1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აყოფილდეს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თავისუფლებაშეზღუდულ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2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შემოვიდეს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მდეგოდ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ჩხრეკა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keepNext/>
        <w:tabs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10" w:name="part_22"/>
      <w:bookmarkEnd w:id="10"/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აღმსარებლობის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11" w:name="part_23"/>
    <w:bookmarkEnd w:id="11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ინტერნეტის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ცენზურა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მონოპოლიზაციის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ინტერნეტზე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წვდომისა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ინტერნეტით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მედიაპლურალიზმის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მონოპოლიზაციის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მაუწყებლობისა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თვითგამორკვევისა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3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12" w:name="part_24"/>
      <w:bookmarkEnd w:id="12"/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13" w:name="part_25"/>
    <w:bookmarkEnd w:id="13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ცენზურა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14" w:name="part_26"/>
      <w:bookmarkEnd w:id="14"/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15" w:name="part_27"/>
    <w:bookmarkEnd w:id="15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უიარაღოდ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სამოძრაო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წყობილების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პროპაგანდას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აღვივებს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შუღლს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16" w:name="part_30"/>
      <w:bookmarkEnd w:id="16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4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D17126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17" w:name="part_31"/>
      <w:bookmarkEnd w:id="17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ალაქეა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18" w:name="part_32"/>
      <w:bookmarkEnd w:id="18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5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 2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19" w:name="part_36"/>
      <w:bookmarkEnd w:id="19"/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მონოპოლიური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6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ფარმაცევტულ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მიმოქცევას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7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ზრუნავდეს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ახლანდელი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20" w:name="part_39"/>
    <w:bookmarkEnd w:id="20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მამაკაცის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21" w:name="part_43"/>
    <w:bookmarkEnd w:id="21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განსაჯოს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უდანაშაულოდ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დამნაშავეობა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უდანაშაულობა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ბრალმდებელს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უტყუარ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ეჭვი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ამსუბუქებს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უკუძალა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ახლობელთა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22" w:name="part_46"/>
      <w:bookmarkEnd w:id="22"/>
    </w:p>
    <w:bookmarkStart w:id="23" w:name="part_47"/>
    <w:bookmarkEnd w:id="23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ნატურალიზაციით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2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)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დაარღვიოს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დაბრკოლებათა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bookmarkStart w:id="24" w:name="part_51"/>
      <w:bookmarkEnd w:id="24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hyperlink r:id="rId18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თ</w:t>
        </w:r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ავი მესამე. საქართველოს პარლამენტი</w:t>
        </w:r>
      </w:hyperlink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25" w:name="part_52"/>
      <w:bookmarkEnd w:id="25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საშინაო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26" w:name="part_53"/>
      <w:bookmarkEnd w:id="26"/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27" w:name="part_55"/>
      <w:bookmarkEnd w:id="27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სენატი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სენატი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მრავალმანდატიან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შაბათს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დათხოვნიდან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უცხოვრია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გაუნაწილებელ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მანდატებს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თანმიმდევრობით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bookmarkStart w:id="28" w:name="part_56"/>
      <w:bookmarkEnd w:id="28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შეუდგეს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29" w:name="part_58"/>
    <w:bookmarkEnd w:id="29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მანდატით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დაყადაღება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დაბრკოლებათა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დაესწრო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დამნაშავედ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გამოაცხად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30" w:name="part_61"/>
    <w:bookmarkEnd w:id="30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ისყრით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სასახლეში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1" w:name="part_62"/>
      <w:bookmarkEnd w:id="31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19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2" w:name="part_65"/>
      <w:bookmarkEnd w:id="32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20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ოპოზიციის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21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კითხვა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ინტერპელაცია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კითხვით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კითხვაზე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შვიდკაციან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ინტერპელაციის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შეკითხვით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უპასუხოს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შეკითხვას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3" w:name="part_66"/>
      <w:bookmarkEnd w:id="33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22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იკრიბება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საშემოდგომო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სამშაბათს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პარასკევს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საგაზაფხულო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სამშაბათს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პარასკევს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იკრიბება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იკრიბება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შეკითხვებ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მოუსმინოს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23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4" w:name="part_74"/>
      <w:bookmarkEnd w:id="34"/>
    </w:p>
    <w:bookmarkStart w:id="35" w:name="part_76"/>
    <w:bookmarkEnd w:id="35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46.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დააბრუნებს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პირვანდელ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გამოაქვეყნა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გამოაქვეყნა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6" w:name="part_72"/>
      <w:bookmarkEnd w:id="36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24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დენონსირებას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დენონსირებას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7" w:name="part_73"/>
      <w:bookmarkEnd w:id="37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38" w:name="part_119"/>
      <w:bookmarkEnd w:id="38"/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დაადასტურა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გადაყენებულად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გადაყენებულად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39" w:name="part_71"/>
      <w:bookmarkEnd w:id="39"/>
    </w:p>
    <w:bookmarkStart w:id="40" w:name="part_77"/>
    <w:bookmarkEnd w:id="40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 მეოთხე.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 პრეზიდენტი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</w:p>
    <w:p w:rsidR="00000000" w:rsidRDefault="00D1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41" w:name="part_78"/>
      <w:bookmarkEnd w:id="41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მთავარსარდალი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42" w:name="part_80"/>
      <w:bookmarkEnd w:id="42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უცხოვრია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სასახლეში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იმუნიტეტი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ვფიცავ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განუყოფლობას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აღვასრულებ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ვიზრუნებ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აღორძინებისა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ძლევამოსილებისათვის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ატიმრება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ხელფასს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ელჩების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ელჩებს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ეკლესიასთან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მეთაურს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შეიწყალებს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რანგებს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სუვერენიტეტს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გასაუქმებლად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დენონსირების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ელოვანეს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43" w:name="part_86"/>
      <w:bookmarkEnd w:id="43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თანახელმოწერა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თანახელმოწერას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თანახელმოწერას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თანახელმოწერის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თანახელმოწერილ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თანახელმოწერას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დათხოვ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left:0;text-align:left;margin-left:290.05pt;margin-top:.1pt;width:2.95pt;height:2.95pt;z-index:251658240;mso-wrap-distance-left:0;mso-wrap-distance-right:0">
            <v:imagedata r:id="rId25" o:title=""/>
            <w10:wrap type="square"/>
          </v:shape>
        </w:pic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hyperlink r:id="rId26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თავი მეხუთე. საქართველოს მთავრობა</w:t>
        </w:r>
      </w:hyperlink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საშინაო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რწმუნებულები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მეთაურია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ვიცე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ვიცე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noProof/>
        </w:rPr>
        <w:pict>
          <v:shape id="Ink 3" o:spid="_x0000_s1027" type="#_x0000_t75" style="position:absolute;left:0;text-align:left;margin-left:216.55pt;margin-top:38.8pt;width:2.3pt;height:2.3pt;z-index:251659264;mso-wrap-distance-left:0;mso-wrap-distance-right:0">
            <v:imagedata r:id="rId27" o:title=""/>
            <w10:wrap type="square"/>
          </v:shape>
        </w:pict>
      </w: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იხსნის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დანიშვნამდე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გადადგომიდან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მინისტრებს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position w:val="6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აღძვრასთან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წამოაყენებენ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მინისტრებს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აღძვრა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position w:val="6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პრემიერმინისტრობის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მინისტრებს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sz w:val="24"/>
          <w:szCs w:val="24"/>
          <w:lang w:eastAsia="x-none"/>
        </w:rPr>
      </w:pPr>
    </w:p>
    <w:bookmarkStart w:id="44" w:name="part_107"/>
    <w:bookmarkEnd w:id="44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 მეექვსე. სასამართლო ხელისუფლება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მართლმსაჯულებას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ნაფიცი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მსაჯულები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მადგენლობიდან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მეცხრე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გვიანდელ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1134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2694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შემსუბუქების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საქვეყნოდ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მიეჩინება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შეუთავსებელია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ჩამოცილება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შეუცვლელობა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დისიერებისა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45" w:name="part_114"/>
      <w:bookmarkEnd w:id="45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28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 6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ვირვალობისა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hyperlink r:id="rId29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თავი მეშვიდე. სახელმწიფო ფინ</w:t>
        </w:r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ანსები და კონტროლი</w:t>
        </w:r>
      </w:hyperlink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46" w:name="part_120"/>
      <w:bookmarkEnd w:id="46"/>
    </w:p>
    <w:bookmarkStart w:id="47" w:name="part_121"/>
    <w:bookmarkEnd w:id="47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48" w:name="part_123"/>
      <w:bookmarkEnd w:id="48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30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49" w:name="part_124"/>
      <w:bookmarkEnd w:id="49"/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ფუძემდებლური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მაკროეკონომიკური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31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68.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მონეტარულ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bookmarkStart w:id="50" w:name="part_125"/>
      <w:bookmarkEnd w:id="50"/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bookmarkStart w:id="51" w:name="part_126"/>
    <w:bookmarkEnd w:id="51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hAnsi="Sylfaen" w:cs="Sylfaen"/>
          <w:sz w:val="24"/>
          <w:szCs w:val="24"/>
          <w:lang w:eastAsia="x-none"/>
        </w:rPr>
        <w:t xml:space="preserve"> 69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ხელშესაწყობად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32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თავი მერვე. სახელმწიფოს თავდაცვა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52" w:name="part_128"/>
      <w:bookmarkEnd w:id="52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სუვერენიტეტისა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53" w:name="part_129"/>
      <w:bookmarkEnd w:id="53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გადატრიალების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ამბოხების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შეკრებისთანავე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-19,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დეკრეტი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დამტკიცებისთანა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ჯდომარეობს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მეცხრე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6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</w:p>
    <w:p w:rsidR="00000000" w:rsidRDefault="00D17126">
      <w:pPr>
        <w:tabs>
          <w:tab w:val="left" w:pos="113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აწესრიგებენ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აღასრულებენ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993"/>
          <w:tab w:val="left" w:pos="1134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ველი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ერთეულის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შექმნის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,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გაუქმების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ან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მისი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საზღვრების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შეცვლის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თაობაზე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შესაბამის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თვითმმართველ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ერთეულებთან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კონსულტაციით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მთავრობის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წარდგინებით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იღებს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პარლამენტი</w:t>
      </w:r>
      <w:r>
        <w:rPr>
          <w:rStyle w:val="SubtleReference"/>
          <w:rFonts w:ascii="Sylfaen" w:eastAsia="Times New Roman" w:hAnsi="Sylfaen" w:cs="Sylfaen"/>
          <w:color w:val="auto"/>
          <w:sz w:val="24"/>
          <w:szCs w:val="24"/>
          <w:u w:val="none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გამიჯნულია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ექსკლუზიურია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გაწევრიანდეს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Style w:val="SubtleReference"/>
          <w:rFonts w:ascii="Sylfaen" w:hAnsi="Sylfaen" w:cs="Sylfaen"/>
          <w:sz w:val="24"/>
          <w:szCs w:val="24"/>
          <w:lang w:eastAsia="x-none"/>
        </w:rPr>
      </w:pPr>
    </w:p>
    <w:bookmarkStart w:id="54" w:name="part_136"/>
    <w:bookmarkEnd w:id="54"/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fldChar w:fldCharType="begin"/>
      </w:r>
      <w:r>
        <w:rPr>
          <w:rFonts w:ascii="Sylfaen" w:hAnsi="Sylfaen" w:cs="Sylfaen"/>
          <w:sz w:val="24"/>
          <w:szCs w:val="24"/>
          <w:lang w:eastAsia="x-none"/>
        </w:rPr>
        <w:instrText>HYPERLINK "https://matsne.gov.ge/index.php?option=com_ldmssearch&amp;view=docView&amp;id=30346&amp;lang=ge"</w:instrText>
      </w:r>
      <w:r>
        <w:rPr>
          <w:rFonts w:ascii="Sylfaen" w:hAnsi="Sylfaen" w:cs="Sylfaen"/>
          <w:sz w:val="24"/>
          <w:szCs w:val="24"/>
          <w:lang w:eastAsia="x-none"/>
        </w:rPr>
      </w:r>
      <w:r>
        <w:rPr>
          <w:rFonts w:ascii="Sylfaen" w:hAnsi="Sylfaen" w:cs="Sylfaen"/>
          <w:sz w:val="24"/>
          <w:szCs w:val="24"/>
          <w:lang w:eastAsia="x-none"/>
        </w:rPr>
        <w:fldChar w:fldCharType="separate"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 მეათე. კონსტიტუცი</w:t>
      </w:r>
      <w:r>
        <w:rPr>
          <w:rFonts w:ascii="Sylfaen" w:hAnsi="Sylfaen" w:cs="Sylfaen"/>
          <w:sz w:val="24"/>
          <w:szCs w:val="24"/>
          <w:lang w:eastAsia="x-none"/>
        </w:rPr>
        <w:fldChar w:fldCharType="end"/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გადასინჯვა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bookmarkStart w:id="55" w:name="part_137"/>
      <w:bookmarkEnd w:id="55"/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hyperlink r:id="rId33" w:history="1">
        <w:r>
          <w:rPr>
            <w:rFonts w:ascii="Sylfaen" w:eastAsia="Times New Roman" w:hAnsi="Sylfaen" w:cs="Sylfaen"/>
            <w:sz w:val="24"/>
            <w:szCs w:val="24"/>
            <w:lang w:eastAsia="x-none"/>
          </w:rPr>
          <w:t>მუხლი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გადასინჯვის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</w:p>
    <w:p w:rsidR="00000000" w:rsidRDefault="00D17126">
      <w:pPr>
        <w:tabs>
          <w:tab w:val="left" w:pos="709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გადაისინჯება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ხელმოსაწერად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ხელმოსაწერად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მეოთხედი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ხელმოსაწერად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მეთერთმეტე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ევროატლანტიკურ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ინტეგრაცია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საპარლამე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3. 2024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ალტერნატივაა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ანაცვლებს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7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(29.06.2020 N6500)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(29.06.2020 N6500)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გადალახეს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გაუნაწილებელ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თანმიმდევრობით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უდიდესი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მოაკლდება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თანმიმდევრობით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გადალახეს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ერთმანდატიანი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მთაწმინდისა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კრწანისის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საბურთალოს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დიდუბისა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ჩუღურეთის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გლდანის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ნაძალადევის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თელავის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ყვარლისა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გურჯაანის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საგარეჯოს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დედოფლისწყაროსა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სიღნაღის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რუსთავის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გარდაბნის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იჭალის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ლემშვენიერის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კუმისისა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კრწანისის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მარნეულისა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გარდაბნის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სართიჭალის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სამგორის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ლემშვენიერის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კუმისისა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კრწანისის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დმანისის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თეთრი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წალკის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დუშეთის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თიანეთისა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ყაზბეგის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კასპისა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ნიქოზის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ტირძნისის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შინდისის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ხაშურისა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ნიქოზის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ტირძნისის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შინდისის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ახალციხის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ბორჯომის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ადიგენისა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ასპინძის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ახალქალაქისა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ნინოწმინდის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საჩხერის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ჭიათურისა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ხარაგაულის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თერჯოლის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ზესტაფონისა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ბაღდათის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სამტრედიის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წყალტუბოს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სენაკის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წალენჯიხის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ჩხოროწყუს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მარტვილისა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ოზურგეთის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ლანჩხუთისა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ჩოხატაურის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ქობულეთის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ხელვაჩაურის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მახინჯაურის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ხელვაჩაურის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მახინჯაურის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შუახევისა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ამბროლაურის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ცაგერის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ლენტეხისა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17126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№132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:rsidR="00000000" w:rsidRDefault="00D17126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4" w:right="850" w:bottom="1134" w:left="18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7126"/>
    <w:rsid w:val="00D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  <w:style w:type="character" w:styleId="SubtleReference">
    <w:name w:val="Subtle Reference"/>
    <w:basedOn w:val="DefaultParagraphFont"/>
    <w:uiPriority w:val="99"/>
    <w:qFormat/>
    <w:rPr>
      <w:color w:val="ED7D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index.php?option=com_ldmssearch&amp;view=docView&amp;id=30346&amp;lang=ge" TargetMode="External"/><Relationship Id="rId13" Type="http://schemas.openxmlformats.org/officeDocument/2006/relationships/hyperlink" Target="https://matsne.gov.ge/index.php?option=com_ldmssearch&amp;view=docView&amp;id=30346&amp;lang=ge" TargetMode="External"/><Relationship Id="rId18" Type="http://schemas.openxmlformats.org/officeDocument/2006/relationships/hyperlink" Target="https://matsne.gov.ge/index.php?option=com_ldmssearch&amp;view=docView&amp;id=30346&amp;lang=ge" TargetMode="External"/><Relationship Id="rId26" Type="http://schemas.openxmlformats.org/officeDocument/2006/relationships/hyperlink" Target="https://matsne.gov.ge/index.php?option=com_ldmssearch&amp;view=docView&amp;id=30346&amp;lang=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sne.gov.ge/index.php?option=com_ldmssearch&amp;view=docView&amp;id=30346&amp;lang=g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tsne.gov.ge/index.php?option=com_ldmssearch&amp;view=docView&amp;id=30346&amp;lang=ge" TargetMode="External"/><Relationship Id="rId12" Type="http://schemas.openxmlformats.org/officeDocument/2006/relationships/hyperlink" Target="https://matsne.gov.ge/index.php?option=com_ldmssearch&amp;view=docView&amp;id=30346&amp;lang=ge" TargetMode="External"/><Relationship Id="rId17" Type="http://schemas.openxmlformats.org/officeDocument/2006/relationships/hyperlink" Target="https://matsne.gov.ge/index.php?option=com_ldmssearch&amp;view=docView&amp;id=30346&amp;lang=ge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matsne.gov.ge/index.php?option=com_ldmssearch&amp;view=docView&amp;id=30346&amp;lang=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index.php?option=com_ldmssearch&amp;view=docView&amp;id=30346&amp;lang=ge" TargetMode="External"/><Relationship Id="rId20" Type="http://schemas.openxmlformats.org/officeDocument/2006/relationships/hyperlink" Target="https://matsne.gov.ge/index.php?option=com_ldmssearch&amp;view=docView&amp;id=30346&amp;lang=ge" TargetMode="External"/><Relationship Id="rId29" Type="http://schemas.openxmlformats.org/officeDocument/2006/relationships/hyperlink" Target="https://matsne.gov.ge/index.php?option=com_ldmssearch&amp;view=docView&amp;id=30346&amp;lang=g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sne.gov.ge/index.php?option=com_ldmssearch&amp;view=docView&amp;id=30346&amp;lang=ge" TargetMode="External"/><Relationship Id="rId11" Type="http://schemas.openxmlformats.org/officeDocument/2006/relationships/hyperlink" Target="https://matsne.gov.ge/index.php?option=com_ldmssearch&amp;view=docView&amp;id=30346&amp;lang=ge" TargetMode="External"/><Relationship Id="rId24" Type="http://schemas.openxmlformats.org/officeDocument/2006/relationships/hyperlink" Target="https://matsne.gov.ge/index.php?option=com_ldmssearch&amp;view=docView&amp;id=30346&amp;lang=ge" TargetMode="External"/><Relationship Id="rId32" Type="http://schemas.openxmlformats.org/officeDocument/2006/relationships/hyperlink" Target="https://matsne.gov.ge/index.php?option=com_ldmssearch&amp;view=docView&amp;id=30346&amp;lang=ge" TargetMode="External"/><Relationship Id="rId5" Type="http://schemas.openxmlformats.org/officeDocument/2006/relationships/hyperlink" Target="https://matsne.gov.ge/index.php?option=com_ldmssearch&amp;view=docView&amp;id=30346&amp;lang=ge" TargetMode="External"/><Relationship Id="rId15" Type="http://schemas.openxmlformats.org/officeDocument/2006/relationships/hyperlink" Target="https://matsne.gov.ge/index.php?option=com_ldmssearch&amp;view=docView&amp;id=30346&amp;lang=ge" TargetMode="External"/><Relationship Id="rId23" Type="http://schemas.openxmlformats.org/officeDocument/2006/relationships/hyperlink" Target="https://matsne.gov.ge/index.php?option=com_ldmssearch&amp;view=docView&amp;id=30346&amp;lang=ge" TargetMode="External"/><Relationship Id="rId28" Type="http://schemas.openxmlformats.org/officeDocument/2006/relationships/hyperlink" Target="https://matsne.gov.ge/index.php?option=com_ldmssearch&amp;view=docView&amp;id=30346&amp;lang=ge" TargetMode="External"/><Relationship Id="rId10" Type="http://schemas.openxmlformats.org/officeDocument/2006/relationships/hyperlink" Target="https://matsne.gov.ge/index.php?option=com_ldmssearch&amp;view=docView&amp;id=30346&amp;lang=ge" TargetMode="External"/><Relationship Id="rId19" Type="http://schemas.openxmlformats.org/officeDocument/2006/relationships/hyperlink" Target="https://matsne.gov.ge/index.php?option=com_ldmssearch&amp;view=docView&amp;id=30346&amp;lang=ge" TargetMode="External"/><Relationship Id="rId31" Type="http://schemas.openxmlformats.org/officeDocument/2006/relationships/hyperlink" Target="https://matsne.gov.ge/index.php?option=com_ldmssearch&amp;view=docView&amp;id=30346&amp;lang=ge" TargetMode="External"/><Relationship Id="rId4" Type="http://schemas.openxmlformats.org/officeDocument/2006/relationships/hyperlink" Target="https://matsne.gov.ge/index.php?option=com_ldmssearch&amp;view=docView&amp;id=30346&amp;lang=ge" TargetMode="External"/><Relationship Id="rId9" Type="http://schemas.openxmlformats.org/officeDocument/2006/relationships/hyperlink" Target="https://matsne.gov.ge/index.php?option=com_ldmssearch&amp;view=docView&amp;id=30346&amp;lang=ge" TargetMode="External"/><Relationship Id="rId14" Type="http://schemas.openxmlformats.org/officeDocument/2006/relationships/hyperlink" Target="https://matsne.gov.ge/index.php?option=com_ldmssearch&amp;view=docView&amp;id=30346&amp;lang=ge" TargetMode="External"/><Relationship Id="rId22" Type="http://schemas.openxmlformats.org/officeDocument/2006/relationships/hyperlink" Target="https://matsne.gov.ge/index.php?option=com_ldmssearch&amp;view=docView&amp;id=30346&amp;lang=ge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matsne.gov.ge/index.php?option=com_ldmssearch&amp;view=docView&amp;id=30346&amp;lang=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15064</Words>
  <Characters>85866</Characters>
  <Application>Microsoft Office Word</Application>
  <DocSecurity>0</DocSecurity>
  <Lines>715</Lines>
  <Paragraphs>201</Paragraphs>
  <ScaleCrop>false</ScaleCrop>
  <Company/>
  <LinksUpToDate>false</LinksUpToDate>
  <CharactersWithSpaces>100729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