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u w:val="single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სამშენებლო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</w:t>
      </w:r>
      <w:r>
        <w:rPr>
          <w:rFonts w:ascii="Sylfaen" w:eastAsia="Times New Roman" w:hAnsi="Sylfaen" w:cs="Sylfaen"/>
          <w:lang w:val="en-US"/>
        </w:rPr>
        <w:t>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თავისებურებებს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მექანიზმს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განვითარებისაკენ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საბინაო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კომუნალური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საყოფაცხოვრებო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გაუმჯობესებისაკენ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დარგთაშორის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პოტენციალის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ამაღლება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საყოფაცხოვრებო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კონკურენტული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</w:t>
      </w:r>
      <w:r>
        <w:rPr>
          <w:rFonts w:ascii="Sylfaen" w:eastAsia="Times New Roman" w:hAnsi="Sylfaen" w:cs="Sylfaen"/>
          <w:lang w:val="en-US"/>
        </w:rPr>
        <w:t>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საიმედოობის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ფუნქციური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დანიშნულებისადმი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თანამედროვე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კომპონენტების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ტოპოგრაფიულ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გეოდეზიური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საინჟინრო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№3221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სამონტაჟო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კაპიტალური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შეკეთების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რეკონსტრუქციის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საწარმოთა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აღჭურვის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აღდგენითი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სარესტავრაციო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საძიებო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სამონტაჟო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საშენი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ნაკეთობების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მექანიზაციისა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</w:t>
      </w:r>
      <w:r>
        <w:rPr>
          <w:rFonts w:ascii="Sylfaen" w:eastAsia="Times New Roman" w:hAnsi="Sylfaen" w:cs="Sylfaen"/>
          <w:lang w:val="en-US"/>
        </w:rPr>
        <w:t>თობლიობა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№3221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კაპიტალური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შეძენა</w:t>
      </w:r>
      <w:r>
        <w:rPr>
          <w:rFonts w:ascii="Sylfaen" w:eastAsia="Times New Roman" w:hAnsi="Sylfaen" w:cs="Sylfaen"/>
          <w:lang w:val="en-US"/>
        </w:rPr>
        <w:t xml:space="preserve">) –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დაკვეთებით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მენაშენე</w:t>
      </w:r>
      <w:r>
        <w:rPr>
          <w:rFonts w:ascii="Sylfaen" w:eastAsia="Times New Roman" w:hAnsi="Sylfaen" w:cs="Sylfaen"/>
          <w:lang w:val="en-US"/>
        </w:rPr>
        <w:t xml:space="preserve">  –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წინასაპროექტო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სამონტაჟო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გამშვებ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გასამართი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შემსრულებელ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მენარდესთან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რომლისგანაც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საექსპლუატაციოდ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დასრულე</w:t>
      </w:r>
      <w:r>
        <w:rPr>
          <w:rFonts w:ascii="Sylfaen" w:eastAsia="Times New Roman" w:hAnsi="Sylfaen" w:cs="Sylfaen"/>
          <w:lang w:val="en-US"/>
        </w:rPr>
        <w:t>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დამკვეთი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№3221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მენარდე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ასრულებს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წინასაპროექტო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საძიებო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სამონტაჟო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გამშვებ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გასამართ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ქვემენარდის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ქვემენა</w:t>
      </w:r>
      <w:r>
        <w:rPr>
          <w:rFonts w:ascii="Sylfaen" w:eastAsia="Times New Roman" w:hAnsi="Sylfaen" w:cs="Sylfaen"/>
          <w:lang w:val="en-US"/>
        </w:rPr>
        <w:t>რდე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მენარდესთან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ერტიფიკაციის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</w:t>
      </w:r>
      <w:r>
        <w:rPr>
          <w:rFonts w:ascii="Sylfaen" w:eastAsia="Times New Roman" w:hAnsi="Sylfaen" w:cs="Sylfaen"/>
          <w:lang w:val="en-US"/>
        </w:rPr>
        <w:t>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აძლევს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5541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697</w:t>
      </w:r>
      <w:r>
        <w:rPr>
          <w:rFonts w:ascii="Sylfaen" w:hAnsi="Sylfaen" w:cs="Sylfaen"/>
          <w:sz w:val="20"/>
          <w:szCs w:val="20"/>
          <w:lang w:val="en-US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საექსპლუატაციოდ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მშენებლობადამთავრებულ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საექსპლუატაციოდ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წყაროები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</w:t>
      </w:r>
      <w:r>
        <w:rPr>
          <w:rFonts w:ascii="Sylfaen" w:eastAsia="Times New Roman" w:hAnsi="Sylfaen" w:cs="Sylfaen"/>
          <w:lang w:val="en-US"/>
        </w:rPr>
        <w:t>არჯებით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ნებადართული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მონაწილეები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მენაშენე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დამკვეთი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მენარდე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ქვემენარდე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ვალდებულებანი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</w:t>
      </w:r>
      <w:r>
        <w:rPr>
          <w:rFonts w:ascii="Sylfaen" w:eastAsia="Times New Roman" w:hAnsi="Sylfaen" w:cs="Sylfaen"/>
          <w:lang w:val="en-US"/>
        </w:rPr>
        <w:t>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ანგარიშგება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დამკვეთმა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შეარჩიოს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მენარდე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</w:t>
      </w:r>
      <w:r>
        <w:rPr>
          <w:rFonts w:ascii="Sylfaen" w:eastAsia="Times New Roman" w:hAnsi="Sylfaen" w:cs="Sylfaen"/>
          <w:lang w:val="en-US"/>
        </w:rPr>
        <w:t>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დააფინანსოს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მშენებლობაში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კონსტრუქციების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ნაკეთობებისა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</w:t>
      </w:r>
      <w:r>
        <w:rPr>
          <w:rFonts w:ascii="Sylfaen" w:eastAsia="Times New Roman" w:hAnsi="Sylfaen" w:cs="Sylfaen"/>
          <w:lang w:val="en-US"/>
        </w:rPr>
        <w:t>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მშენებლობადამთავრებული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lang w:eastAsia="x-none"/>
        </w:rPr>
        <w:t>24.09.2013. N1287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>-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</w:t>
      </w:r>
      <w:r>
        <w:rPr>
          <w:rFonts w:ascii="Sylfaen" w:eastAsia="Times New Roman" w:hAnsi="Sylfaen" w:cs="Sylfaen"/>
          <w:lang w:val="en-US"/>
        </w:rPr>
        <w:t>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კონტრაქტის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ურთიერთდამოკიდებულება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</w:t>
      </w:r>
      <w:r>
        <w:rPr>
          <w:rFonts w:ascii="Sylfaen" w:eastAsia="Times New Roman" w:hAnsi="Sylfaen" w:cs="Sylfaen"/>
          <w:lang w:val="en-US"/>
        </w:rPr>
        <w:t>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სამონტაჟო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სახარჯთაღრიცხვო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პარტნიორის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ურთიერთდამოკიდებულების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</w:t>
      </w:r>
      <w:r>
        <w:rPr>
          <w:rFonts w:ascii="Sylfaen" w:eastAsia="Times New Roman" w:hAnsi="Sylfaen" w:cs="Sylfaen"/>
          <w:lang w:val="en-US"/>
        </w:rPr>
        <w:t>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III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4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8. სამშენებლო საქმიანობის კოორდინაცია</w:t>
        </w:r>
      </w:hyperlink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lang w:eastAsia="x-none"/>
        </w:rPr>
        <w:t>24.09.2013. N1287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</w:t>
      </w:r>
      <w:r>
        <w:rPr>
          <w:rFonts w:ascii="Sylfaen" w:eastAsia="Times New Roman" w:hAnsi="Sylfaen" w:cs="Sylfaen"/>
          <w:lang w:val="ka-GE" w:eastAsia="ka-GE"/>
        </w:rPr>
        <w:t xml:space="preserve">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25541D">
      <w:pPr>
        <w:shd w:val="clear" w:color="auto" w:fill="FFFFFF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255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25541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სამშენე</w:t>
      </w:r>
      <w:r>
        <w:rPr>
          <w:rFonts w:ascii="Sylfaen" w:eastAsia="Times New Roman" w:hAnsi="Sylfaen" w:cs="Sylfaen"/>
          <w:lang w:val="en-US"/>
        </w:rPr>
        <w:t>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697</w:t>
      </w:r>
      <w:r>
        <w:rPr>
          <w:rFonts w:ascii="Sylfaen" w:hAnsi="Sylfaen" w:cs="Sylfaen"/>
          <w:sz w:val="20"/>
          <w:szCs w:val="20"/>
          <w:lang w:val="en-US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25541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>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IV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სტიმულირება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სამართლებრ</w:t>
      </w:r>
      <w:r>
        <w:rPr>
          <w:rFonts w:ascii="Sylfaen" w:eastAsia="Times New Roman" w:hAnsi="Sylfaen" w:cs="Sylfaen"/>
          <w:lang w:val="en-US"/>
        </w:rPr>
        <w:t>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ჩაერიონ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კომპლექსის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მაკონტროლებელი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სამშენებლ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სტიმულირება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სტიმულირების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დამსახურე</w:t>
      </w:r>
      <w:r>
        <w:rPr>
          <w:rFonts w:ascii="Sylfaen" w:eastAsia="Times New Roman" w:hAnsi="Sylfaen" w:cs="Sylfaen"/>
          <w:lang w:val="en-US"/>
        </w:rPr>
        <w:t>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მშენებლის</w:t>
      </w:r>
      <w:r>
        <w:rPr>
          <w:rFonts w:ascii="Sylfaen" w:eastAsia="Times New Roman" w:hAnsi="Sylfaen" w:cs="Sylfaen"/>
          <w:lang w:val="en-US"/>
        </w:rPr>
        <w:t>”,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დამსახურებული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არქიტექტორის</w:t>
      </w:r>
      <w:r>
        <w:rPr>
          <w:rFonts w:ascii="Sylfaen" w:eastAsia="Times New Roman" w:hAnsi="Sylfaen" w:cs="Sylfaen"/>
          <w:lang w:val="en-US"/>
        </w:rPr>
        <w:t xml:space="preserve">” </w:t>
      </w:r>
      <w:r>
        <w:rPr>
          <w:rFonts w:ascii="Sylfaen" w:eastAsia="Times New Roman" w:hAnsi="Sylfaen" w:cs="Sylfaen"/>
          <w:lang w:val="en-US"/>
        </w:rPr>
        <w:t>წოდებათა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სამკერდე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დაჯილდოება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255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>24.09.2013. N1287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255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25541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№3221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</w:t>
      </w:r>
      <w:r>
        <w:rPr>
          <w:rFonts w:ascii="Sylfaen" w:eastAsia="Times New Roman" w:hAnsi="Sylfaen" w:cs="Sylfaen"/>
          <w:lang w:val="en-US"/>
        </w:rPr>
        <w:t>დავის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ურთიერთშეუთანხმებლობის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იხილა</w:t>
      </w:r>
      <w:r>
        <w:rPr>
          <w:rFonts w:ascii="Sylfaen" w:eastAsia="Times New Roman" w:hAnsi="Sylfaen" w:cs="Sylfaen"/>
          <w:lang w:val="en-US"/>
        </w:rPr>
        <w:t>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”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VI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გარდამავალი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15.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</w:t>
      </w:r>
      <w:r>
        <w:rPr>
          <w:rFonts w:ascii="Sylfaen" w:eastAsia="Times New Roman" w:hAnsi="Sylfaen" w:cs="Sylfaen"/>
          <w:lang w:val="en-US"/>
        </w:rPr>
        <w:t>შესამუშავებელი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ურბანიზაციისა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</w:t>
      </w:r>
      <w:r>
        <w:rPr>
          <w:rFonts w:ascii="Sylfaen" w:eastAsia="Times New Roman" w:hAnsi="Sylfaen" w:cs="Sylfaen"/>
          <w:lang w:val="en-US"/>
        </w:rPr>
        <w:t xml:space="preserve"> ”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დამსახურებული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მშენებლის</w:t>
      </w:r>
      <w:r>
        <w:rPr>
          <w:rFonts w:ascii="Sylfaen" w:eastAsia="Times New Roman" w:hAnsi="Sylfaen" w:cs="Sylfaen"/>
          <w:lang w:val="en-US"/>
        </w:rPr>
        <w:t xml:space="preserve">”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დამსახურებული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</w:t>
      </w:r>
      <w:r>
        <w:rPr>
          <w:rFonts w:ascii="Sylfaen" w:eastAsia="Times New Roman" w:hAnsi="Sylfaen" w:cs="Sylfaen"/>
          <w:lang w:val="en-US"/>
        </w:rPr>
        <w:t>ტექტორის</w:t>
      </w:r>
      <w:r>
        <w:rPr>
          <w:rFonts w:ascii="Sylfaen" w:eastAsia="Times New Roman" w:hAnsi="Sylfaen" w:cs="Sylfaen"/>
          <w:lang w:val="en-US"/>
        </w:rPr>
        <w:t xml:space="preserve">” </w:t>
      </w:r>
      <w:r>
        <w:rPr>
          <w:rFonts w:ascii="Sylfaen" w:eastAsia="Times New Roman" w:hAnsi="Sylfaen" w:cs="Sylfaen"/>
          <w:lang w:val="en-US"/>
        </w:rPr>
        <w:t>წოდებათა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სამკერდე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დაჯილდოების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”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დასამტკიცებლად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16. 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</w:t>
      </w:r>
      <w:r>
        <w:rPr>
          <w:rFonts w:ascii="Sylfaen" w:eastAsia="Times New Roman" w:hAnsi="Sylfaen" w:cs="Sylfaen"/>
          <w:lang w:val="en-US"/>
        </w:rPr>
        <w:t xml:space="preserve">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27 </w:t>
      </w:r>
      <w:r>
        <w:rPr>
          <w:rFonts w:ascii="Sylfaen" w:eastAsia="Times New Roman" w:hAnsi="Sylfaen" w:cs="Sylfaen"/>
          <w:lang w:val="en-US"/>
        </w:rPr>
        <w:t>ოქტომბერი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554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N 577 - I</w:t>
      </w:r>
      <w:r>
        <w:rPr>
          <w:rFonts w:ascii="Sylfaen" w:eastAsia="Times New Roman" w:hAnsi="Sylfaen" w:cs="Sylfaen"/>
          <w:lang w:val="en-US"/>
        </w:rPr>
        <w:t>ს</w:t>
      </w:r>
    </w:p>
    <w:p w:rsidR="00000000" w:rsidRDefault="00255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5541D"/>
    <w:rsid w:val="002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  <w:tab w:val="left" w:pos="540"/>
      </w:tabs>
      <w:spacing w:line="20" w:lineRule="atLeast"/>
      <w:ind w:left="630" w:hanging="180"/>
    </w:pPr>
    <w:rPr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sz w:val="22"/>
      <w:szCs w:val="22"/>
    </w:rPr>
  </w:style>
  <w:style w:type="paragraph" w:customStyle="1" w:styleId="mimgebixml">
    <w:name w:val="mimgebi_xml"/>
    <w:basedOn w:val="Normal"/>
    <w:uiPriority w:val="99"/>
    <w:pPr>
      <w:widowControl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index.php?option=com_ldmssearch&amp;view=docView&amp;id=17338&amp;lang=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Base>C:\i\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