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504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მუშაობის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შესახებ</w:t>
      </w:r>
    </w:p>
    <w:p w14:paraId="51C9F99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</w:pPr>
    </w:p>
    <w:p w14:paraId="4C79772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14:paraId="6ADD678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4AD903F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7968C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14:paraId="06B4880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D3858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B68F1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9BFDA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7C5E03F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DCC26E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hAnsi="Sylfaen" w:cs="Sylfaen"/>
          <w:sz w:val="24"/>
          <w:szCs w:val="24"/>
          <w:lang w:val="de-DE" w:eastAsia="de-DE"/>
        </w:rPr>
        <w:t>;</w:t>
      </w:r>
    </w:p>
    <w:p w14:paraId="5BFC461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1A2E6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მეყსეუ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F73394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გასაკეთებლად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6834A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12B7B8F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3EAEB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მსვლელობის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C1B96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70C0"/>
          <w:sz w:val="24"/>
          <w:szCs w:val="24"/>
          <w:lang w:val="ka-GE" w:eastAsia="ka-GE"/>
        </w:rPr>
        <w:t xml:space="preserve"> </w:t>
      </w:r>
    </w:p>
    <w:p w14:paraId="1AF1DE1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E0D02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მრავალშვილიანი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მარტოხელა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უსახლკარ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9E0E7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6</w:t>
      </w: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9D715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1345A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648A3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</w:p>
    <w:p w14:paraId="1917126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52A02F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C16A4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16A20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მარგინალიზაციასა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537D0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F13BA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897C8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7A6C1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7913EE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</w:p>
    <w:p w14:paraId="2A27765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F2DD1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№5391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E178E4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18B9D6A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de-DE" w:eastAsia="de-DE"/>
        </w:rPr>
        <w:t>II</w:t>
      </w:r>
    </w:p>
    <w:p w14:paraId="2C6C28D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4C68BDF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4B929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4405C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9F338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87D83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7FB07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6.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</w:p>
    <w:p w14:paraId="40A0CAD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ითოეული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.  </w:t>
      </w:r>
    </w:p>
    <w:p w14:paraId="7393B57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A551A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3A28C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ციპი</w:t>
      </w:r>
    </w:p>
    <w:p w14:paraId="333BC54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0BB38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პროგრესს</w:t>
      </w:r>
      <w:r>
        <w:rPr>
          <w:rFonts w:ascii="Sylfaen" w:hAnsi="Sylfaen" w:cs="Sylfaen"/>
          <w:sz w:val="24"/>
          <w:szCs w:val="24"/>
          <w:lang w:val="de-DE" w:eastAsia="de-DE"/>
        </w:rPr>
        <w:t>.</w:t>
      </w:r>
    </w:p>
    <w:p w14:paraId="36F2CBC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</w:p>
    <w:p w14:paraId="1B80A90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 </w:t>
      </w:r>
    </w:p>
    <w:p w14:paraId="31E11E3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de-DE" w:eastAsia="de-D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. </w:t>
      </w:r>
    </w:p>
    <w:p w14:paraId="24506E4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de-DE" w:eastAsia="de-D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hAnsi="Sylfaen" w:cs="Sylfaen"/>
          <w:sz w:val="24"/>
          <w:szCs w:val="24"/>
          <w:lang w:val="de-DE" w:eastAsia="de-D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ნებრივი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de-DE" w:eastAsia="de-DE"/>
        </w:rPr>
        <w:t>.</w:t>
      </w:r>
    </w:p>
    <w:p w14:paraId="3CA2AAC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</w:p>
    <w:p w14:paraId="477D5A3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EFBFC3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071E2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გაღრმავებას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1C67A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C249D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</w:p>
    <w:p w14:paraId="1496950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E090B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1CFF3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77E47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85140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5F40F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იპი</w:t>
      </w:r>
    </w:p>
    <w:p w14:paraId="434C227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D2134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3B716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7A3CA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</w:p>
    <w:p w14:paraId="0B74DFE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. </w:t>
      </w:r>
    </w:p>
    <w:p w14:paraId="1DBD8A1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პასუხისმგებლობით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hAnsi="Sylfaen" w:cs="Sylfaen"/>
          <w:sz w:val="24"/>
          <w:szCs w:val="24"/>
          <w:lang w:val="de-DE" w:eastAsia="de-DE"/>
        </w:rPr>
        <w:t>.</w:t>
      </w:r>
    </w:p>
    <w:p w14:paraId="0B67558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თვითგამორკვევის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49906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34E61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</w:p>
    <w:p w14:paraId="4B6C5FD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მეზოდონეზე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A69B1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99B51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III</w:t>
      </w:r>
    </w:p>
    <w:p w14:paraId="3CC4785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</w:p>
    <w:p w14:paraId="584869C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0FEE6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</w:p>
    <w:p w14:paraId="17390AA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5B906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BF751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FAE91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</w:p>
    <w:p w14:paraId="28CDE98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de-DE" w:eastAsia="de-DE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83F03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de-DE" w:eastAsia="de-DE"/>
        </w:rPr>
        <w:t>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6A4A0C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4B9419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173B3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48822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აიცილოს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B5063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BBC70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CFB5C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7D89C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1A919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5158C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გაააქტიუროს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მისწრაფება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C89AB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E4746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52CBB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5F0B9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4BA7E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</w:p>
    <w:p w14:paraId="5674DD7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C6055C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C7745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C6ADD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სამზრუნველო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078CD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B2BA0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97283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5EE63A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hAnsi="Sylfaen" w:cs="Sylfaen"/>
          <w:sz w:val="24"/>
          <w:szCs w:val="24"/>
          <w:lang w:val="de-DE" w:eastAsia="de-D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რეინტეგრ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71D4C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AFDEC8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68D7E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2EB9E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9F246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44F19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F5FE9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934963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7367A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სამზრუნველო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ცენტრსა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თავშეს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აფარში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color w:val="222222"/>
          <w:position w:val="1"/>
          <w:sz w:val="24"/>
          <w:szCs w:val="24"/>
          <w:lang w:val="ka-GE" w:eastAsia="ka-GE"/>
        </w:rPr>
        <w:t>;</w:t>
      </w:r>
    </w:p>
    <w:p w14:paraId="635CBAA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706C1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უშაკზე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 (29.11.2019.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№5391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EF03BC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132E1D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0EE20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</w:p>
    <w:p w14:paraId="5E02EA9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0EF2D0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მოწყვლადი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№5391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29E3A0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25275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63E83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CF455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A3F48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№5391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0E86AF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</w:p>
    <w:p w14:paraId="3F5C0E4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99C620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F69952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8B3D7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C1478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E215A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6695E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922CD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</w:p>
    <w:p w14:paraId="5DCE1C9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2C0F2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4DD80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66743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8547B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1DD2C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სასრულებელ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ფუნქციებს</w:t>
      </w:r>
      <w:r>
        <w:rPr>
          <w:rStyle w:val="5yl5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2C3A8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CEB1F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8D8DB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14:paraId="2983A38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</w:p>
    <w:p w14:paraId="3A25C61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2D3BD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5D9EF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A941B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4B530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BD71A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BD4D4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D4BBA6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3AA7B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დისციპლინათშორისი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409DB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EEB8C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</w:p>
    <w:p w14:paraId="0433F24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E25FF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8950B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EA543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ADDD1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</w:p>
    <w:p w14:paraId="4907485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6E358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08375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3EC58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2D11E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B15A64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991BA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4C6CD7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C5AC2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F6AC85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9549F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443D5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4F2D31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988C4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4916E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00FA8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C9816F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</w:p>
    <w:p w14:paraId="61B6AAB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C13C2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2C703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D8D61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9A762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B4177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F58494" w14:textId="77777777" w:rsidR="00000000" w:rsidRDefault="00DF262C">
      <w:pPr>
        <w:tabs>
          <w:tab w:val="left" w:pos="8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დისციპლინათშორისი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№7009)</w:t>
      </w:r>
    </w:p>
    <w:p w14:paraId="5FEBF2C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9CD0A3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A0EB97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1EE45C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ედება</w:t>
      </w:r>
    </w:p>
    <w:p w14:paraId="1CF7AF9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174A6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8F485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D7C89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</w:p>
    <w:p w14:paraId="29361FA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69B76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AE449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8AEC1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90ED6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F04C3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A935A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B7CD0D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გააანალიზოს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649B4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A5BE3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804D6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</w:p>
    <w:p w14:paraId="7627470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განივითაროს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გაიუმჯობესოს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გაიღრმაოს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DBED9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36C05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7E184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ხელშეუხებლობა</w:t>
      </w:r>
    </w:p>
    <w:p w14:paraId="0A75747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01E6E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04E8F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692D0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F170D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de-DE" w:eastAsia="de-DE"/>
        </w:rPr>
      </w:pPr>
    </w:p>
    <w:p w14:paraId="5C828EF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17B48A8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14:paraId="0433383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010B7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20F05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B181A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C82FD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E070A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თვალით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ალბათობით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წარმოიქმნება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</w:p>
    <w:p w14:paraId="744D66F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873FE7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</w:p>
    <w:p w14:paraId="74F5713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0468D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36429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რდამჭერ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გადაამისამართებს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A56FD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BFCAB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</w:p>
    <w:p w14:paraId="30D1B3D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EC15C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შემშლელ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0BECE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8D092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</w:p>
    <w:p w14:paraId="40A4FAD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143772C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3C0FD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3998F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AEAD2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356E1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CD0F5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</w:p>
    <w:p w14:paraId="56D181A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67947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B6BCC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გადაამისამართებს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აზუსტებს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74A5D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0BD00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</w:p>
    <w:p w14:paraId="41384D9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06A5A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0CD54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14:paraId="615FAD3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</w:p>
    <w:p w14:paraId="2E84B9F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DF58A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</w:p>
    <w:p w14:paraId="7757E3C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CAAB4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19960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9DCFE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3DD2B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C8C13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A950E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921D7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812CC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9ECFB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94678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54155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C34AA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</w:t>
      </w:r>
    </w:p>
    <w:p w14:paraId="6C149EC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E1CCAC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9B357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5DF61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B763A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7671C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F6D78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B7046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ვერბალური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არავერბალური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318DC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1916B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8A056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FE623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09AB8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</w:p>
    <w:p w14:paraId="5F04FBB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3A118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BFEED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39A24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13CCF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AB28F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14:paraId="1650B5D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14:paraId="315D1F4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867BC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</w:p>
    <w:p w14:paraId="2E48557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03A8F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F75294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BD48B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9B1F4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0B79E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50529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7DED4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04CF5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93949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B98B6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6724C63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D49B0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4CF34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1CBA9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2DF7C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86B85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ღიარებისას</w:t>
      </w:r>
    </w:p>
    <w:p w14:paraId="405A22B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F39DB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F6C61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19E17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14:paraId="41EBFAF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</w:p>
    <w:p w14:paraId="150769B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703E3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10AE6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FFBC7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EE4EF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59225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14:paraId="6F883D8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AE160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90C3A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AF53E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31D9F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984DDC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ამბულატორიებში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 </w:t>
      </w:r>
    </w:p>
    <w:p w14:paraId="093C385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64930E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0E6C21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FB1164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7B1139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F49414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მეშვიდე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859135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C4790F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918C4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გამოავლენს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ABF683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C0EF44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4BF2FB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597A34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560B6E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1A55DEB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4EC74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83F1D9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85E47C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F459B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№5391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02177D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EFFA18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FE4FF9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F2D9F7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44A816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9530D9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23DCE3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გადაფასებაში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81C3AA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E03782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რეციდივის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626502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6DEDBE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EA671E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26B731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F2C307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თერაპიის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ფასილიტაცი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D4B6A7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1413EE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შემეცნებითი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F165F8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რეინტეგრაციისთვის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85ADE4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მოშიმშილე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10E6B1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130142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C81BCC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8335F4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5DB09D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F15A8C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14:paraId="1CF8465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ტრენინგმოდულების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BB02B7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0811BC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412573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EA890E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3CACE8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6629D4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038DDD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2"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0A3AFF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2A354F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EFED88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1C57C3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პრობლემური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03C687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გადაჭრაზე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881309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F31FF0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C107D4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FA354F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800C80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106851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22CA74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61B676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459BA6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14FA8F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შეხვედრების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811555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C037CA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მიმართვიანობის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CD256F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C5FB12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E1AFF9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არისადმი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კეთილგანწყობილი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CCB9A4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9EA2A2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760C36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14:paraId="66355C6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28278DC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(29.11.2019.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№5391 2020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14:paraId="1077C0E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2FFFB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</w:p>
    <w:p w14:paraId="1571BFE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14:paraId="47DB27F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998AB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66B9A1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თანაკლასელებისა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9028D9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FEA6A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4C5BD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მოწყვლადი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96C14A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614AC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7F4A4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515B7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№5464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32DA2C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de-DE" w:eastAsia="de-DE"/>
        </w:rPr>
        <w:t> </w:t>
      </w:r>
    </w:p>
    <w:p w14:paraId="28CA133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14:paraId="6B4F1E6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4E734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       </w:t>
      </w:r>
    </w:p>
    <w:p w14:paraId="3DA9D34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1BD64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F899E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34A4D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A4538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2514E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14:paraId="63A0621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E0340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398E7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1B70D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C449A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14:paraId="114BA22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989B7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901FC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E1F29E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14:paraId="3C98116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14:paraId="30E0CF6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8239C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14:paraId="0DEE5A9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15EC2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1289B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38EAC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936C7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</w:t>
      </w:r>
    </w:p>
    <w:p w14:paraId="3EB6115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9C3077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03806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6102F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14:paraId="6BBCD0E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7B0F2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3C0B3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86BB2F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C7C62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08A17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</w:t>
      </w:r>
    </w:p>
    <w:p w14:paraId="272795B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A789D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A60AAD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;</w:t>
      </w:r>
    </w:p>
    <w:p w14:paraId="0986E5D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ბ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;</w:t>
      </w:r>
    </w:p>
    <w:p w14:paraId="172CBDA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გ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.</w:t>
      </w:r>
    </w:p>
    <w:p w14:paraId="2A757BC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წახალისებ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hAnsi="Sylfaen" w:cs="Sylfaen"/>
          <w:sz w:val="24"/>
          <w:szCs w:val="24"/>
          <w:lang w:val="de-DE" w:eastAsia="de-DE"/>
        </w:rPr>
        <w:t>.</w:t>
      </w:r>
    </w:p>
    <w:p w14:paraId="78194FC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16C67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AC85AD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</w:t>
      </w:r>
    </w:p>
    <w:p w14:paraId="03517F9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99628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65D39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737D6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9EDD0A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14:paraId="6E92B5C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556C4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272AAC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de-DE" w:eastAsia="de-D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ზომებია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:</w:t>
      </w:r>
    </w:p>
    <w:p w14:paraId="769CC44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;</w:t>
      </w:r>
    </w:p>
    <w:p w14:paraId="7722AFAE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ბ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საყვე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დური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;</w:t>
      </w:r>
    </w:p>
    <w:p w14:paraId="08BAA8F7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F0BDD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დ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.</w:t>
      </w:r>
    </w:p>
    <w:p w14:paraId="5DB0684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39C5C7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93BBF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14:paraId="2E9F975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3B7D30C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CC441A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20170F2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AC946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C5C90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BCC47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C9DD4D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დაევალოთ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ბენეფიციართათვის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N361)</w:t>
      </w:r>
    </w:p>
    <w:p w14:paraId="0F3BA52C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N361)</w:t>
      </w:r>
    </w:p>
    <w:p w14:paraId="7E3C466C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9669B56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062270F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08124BE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N361)</w:t>
      </w:r>
    </w:p>
    <w:p w14:paraId="256B7301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627A915" w14:textId="77777777" w:rsidR="00000000" w:rsidRDefault="00DF2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A8E5B8D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(29.12.2020.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39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14:paraId="225B10A8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ჯავახიშვილის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რუსთაველის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9ACE1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E1A9D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3C7FC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EFDFE3B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0F059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42-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43-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48-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63-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(29.12.2020.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39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14:paraId="4856116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44-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45-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(29.12.2020.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39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14:paraId="28E661F4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4896B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(29.12.2020.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39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14:paraId="60CA0853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AE33F1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0B6B9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14:paraId="782B1475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7BCCAD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10BE30D0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635076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№2519-II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5C12A1D9" w14:textId="77777777" w:rsidR="00000000" w:rsidRDefault="00DF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E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262C"/>
    <w:rsid w:val="00D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86A8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spacing w:before="120" w:after="120" w:line="276" w:lineRule="auto"/>
      <w:ind w:firstLine="567"/>
      <w:jc w:val="both"/>
    </w:pPr>
    <w:rPr>
      <w:rFonts w:ascii="Sylfaen" w:hAnsi="Sylfaen" w:cs="Sylfaen"/>
      <w:color w:val="000000"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before="240" w:after="0" w:line="276" w:lineRule="auto"/>
      <w:ind w:left="426"/>
      <w:jc w:val="both"/>
    </w:pPr>
    <w:rPr>
      <w:rFonts w:ascii="Sylfaen" w:hAnsi="Sylfaen" w:cs="Sylfae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abzacixml0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uxlixml0">
    <w:name w:val="muxl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pPr>
      <w:spacing w:after="0" w:line="201" w:lineRule="atLeast"/>
    </w:pPr>
    <w:rPr>
      <w:rFonts w:ascii="Arial GEO" w:hAnsi="Arial GEO" w:cs="Arial GEO"/>
      <w:sz w:val="24"/>
      <w:szCs w:val="24"/>
    </w:rPr>
  </w:style>
  <w:style w:type="character" w:customStyle="1" w:styleId="5yl5">
    <w:name w:val="_5yl5"/>
    <w:basedOn w:val="DefaultParagraphFont"/>
    <w:uiPriority w:val="99"/>
  </w:style>
  <w:style w:type="character" w:customStyle="1" w:styleId="CommentSubjectChar1">
    <w:name w:val="Comment Subject Char1"/>
    <w:basedOn w:val="CommentTextChar"/>
    <w:uiPriority w:val="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ighlight">
    <w:name w:val="highlight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t">
    <w:name w:val="st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ListParagraphChar">
    <w:name w:val="List Paragraph Char"/>
    <w:basedOn w:val="DefaultParagraphFont"/>
    <w:uiPriority w:val="99"/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  <w:style w:type="character" w:customStyle="1" w:styleId="A3">
    <w:name w:val="A3"/>
    <w:basedOn w:val="DefaultParagraphFont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8851</Words>
  <Characters>50455</Characters>
  <Application>Microsoft Office Word</Application>
  <DocSecurity>0</DocSecurity>
  <Lines>420</Lines>
  <Paragraphs>118</Paragraphs>
  <ScaleCrop>false</ScaleCrop>
  <Company/>
  <LinksUpToDate>false</LinksUpToDate>
  <CharactersWithSpaces>59188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