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E485" w14:textId="77777777" w:rsidR="00000000" w:rsidRDefault="005429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14:paraId="2513B32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ka-GE" w:eastAsia="ka-GE"/>
        </w:rPr>
      </w:pPr>
    </w:p>
    <w:p w14:paraId="7FCCF4A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პენსიის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14:paraId="74D26C7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47978A9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14:paraId="1BAB89D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ED484B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14:paraId="59F3C7A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40335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FE048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01190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A2A9EF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20B5F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F13E2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E99F2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8B7E4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790F5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44F300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CF2AD8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4F7C8D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0E1C8A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DBD75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CE0ACD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253D9E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ტოლერანტობაზე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DC0B7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5B0170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6FBEE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CFC9F6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7D192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3BA17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AF704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B73709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B43DE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B7C55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19C50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44"/>
          <w:szCs w:val="4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895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en-US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44"/>
          <w:szCs w:val="44"/>
          <w:lang w:val="ka-GE" w:eastAsia="ka-GE"/>
        </w:rPr>
        <w:t>)</w:t>
      </w:r>
    </w:p>
    <w:p w14:paraId="1BA8D9D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7B9D26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ECA070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77C34D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44"/>
          <w:szCs w:val="44"/>
          <w:lang w:val="ka-GE" w:eastAsia="ka-GE"/>
        </w:rPr>
        <w:t>(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საშემოსავლო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დასაბეგრი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შემოსავალი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895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en-US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44"/>
          <w:szCs w:val="44"/>
          <w:lang w:val="ka-GE" w:eastAsia="ka-GE"/>
        </w:rPr>
        <w:t>)</w:t>
      </w:r>
    </w:p>
    <w:p w14:paraId="5303F6D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21950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5F489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36FDBC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54E8FB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EB80E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BDAEB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21E5235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89673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48B18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D00D5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9BC4E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DCA72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0584F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0BCA027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სახაზინო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CD852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7A98B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41730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E5D4F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ტოლერანტობისა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0D28CFD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კომპოზიცია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ტოლერანტობაზე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BA548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49AEB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დანაწევრებული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9BF624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E2A8E3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9FC6C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9A7E1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56E312B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50D2D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B540F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8A532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</w:t>
      </w:r>
    </w:p>
    <w:p w14:paraId="18A47F3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9B24E5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873E06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75B5C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5ECC4B2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6BA3D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78F09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B3360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A2DCFC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A89594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2325A4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0BEF23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60 000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5F3BAA" w14:textId="77777777" w:rsidR="00000000" w:rsidRDefault="00542963">
      <w:pPr>
        <w:tabs>
          <w:tab w:val="left" w:pos="753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6880C31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</w:t>
      </w:r>
    </w:p>
    <w:p w14:paraId="2ECA585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</w:p>
    <w:p w14:paraId="23AC313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E9C20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C4A03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3424CF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1909A4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7B156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23F1873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DDC8B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69C5A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ACFB7A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</w:p>
    <w:p w14:paraId="3DC69AB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პრუდენციული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729B50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13560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D89ED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5181F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CF3592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B06CD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14C19C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86689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67862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89183F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7F9A3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4C8F9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2C881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6EA39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186B6C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დამრგვალების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1F428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დენომინირებული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რეიტინგს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489C3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9D11D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C3341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B30B6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CA856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</w:p>
    <w:p w14:paraId="046D9A3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C1EDD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CF5F3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84039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8B80F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</w:t>
      </w:r>
    </w:p>
    <w:p w14:paraId="54DE6E6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3E189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425B6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5B8824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26A1F0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343AF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C6C1C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0534B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C4B55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6C8D8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7F9C7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A1475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აყალიბებს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3A6F2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4C62A5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5428C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74ACF87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AC5B4F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აქტუარული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DBC54B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D0C2E9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64B6A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DC0871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დაიქირაოს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E0BC72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E369A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57E5C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170E8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947DF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B09C4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6766A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DA8E0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E878F9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9B6C2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9173D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156D6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13B2A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B8C7F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DD3EA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5B87AC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14B31C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CC0B6E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362E3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989DF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F11BB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C0450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24A3F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B3EC3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E79C29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2ACEB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 </w:t>
      </w:r>
    </w:p>
    <w:p w14:paraId="0548C3E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 </w:t>
      </w:r>
    </w:p>
    <w:p w14:paraId="5390601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4C24AA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B6872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 </w:t>
      </w:r>
    </w:p>
    <w:p w14:paraId="516C2D5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13A58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 </w:t>
      </w:r>
    </w:p>
    <w:p w14:paraId="12C2778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711C9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62817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50D2C9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57544F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E3D84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EDE5A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8F1B4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16E2D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0A113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43A8D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B1714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154D3C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4DE26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F319C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2FCBA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A52EB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FD38C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977391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6DD57C7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15F1E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ECDAD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945A5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დაეთანხმოს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5AE5E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333D3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BF4BF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4D1B09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</w:p>
    <w:p w14:paraId="7B70B91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78B91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60664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40152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7903F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9AD3E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C1353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22699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</w:p>
    <w:p w14:paraId="1B38FEE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9796D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83B04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0E170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95C71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აქტუარული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03F15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4E2F6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7D875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BDF74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5C48DD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81BD7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4EEBC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B71D4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EC4F0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9FBFB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8AAE1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46783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7D814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D4A72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1E604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</w:p>
    <w:p w14:paraId="375FA7E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BBA3B2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7B9A3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AD7E40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ნვესტირებასთან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0754D02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C1D3D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5E9968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5D3FCF2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FB8B9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264FE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D4587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1952974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81AA8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5976BD1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40742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</w:p>
    <w:p w14:paraId="32B56F8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84B36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E3986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5AE94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6B35F3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A58C3E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5F751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1BD1D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4E00D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82385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B8BA2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CA1B6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89D87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433BB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5651B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A8AA87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6E7B5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7D5AE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146ED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ECFFC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61D4ED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661D8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88212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გადაწყვეტილებაუნარიანია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6CD63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620DC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B6C44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A9410A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50FB5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C621E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გადაწყვეტილებაუნარიანია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10504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E54D3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D066D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06059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</w:p>
    <w:p w14:paraId="2510861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F5B28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DCE63B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1D3732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F5E16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D43F3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8B3B2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68931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DFD05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648848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711109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უმსხვილესი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B6AA7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B5FB0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6D3CE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დენომინირებული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14:paraId="47C6244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76AF17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BE401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AE893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7D3571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C162E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FC055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64E6B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EF2EE3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A98C9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84851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5F3327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E3573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95D95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მონაწილეობა</w:t>
      </w:r>
    </w:p>
    <w:p w14:paraId="50BF717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B71998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</w:p>
    <w:p w14:paraId="301CD1E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AE35C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530F5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7FEE2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DFD91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398CE9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4839E19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8FAE2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დარწმუნება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გადარწმუნება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17E6C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DFD428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EDED9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DC17F3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396ED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5EFBF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F5DB6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EDA9C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996D7B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DF3A1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C4425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სამუდამოდ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43125F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ჩამოეჭრება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898CC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EB972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ინვესტირება</w:t>
      </w:r>
    </w:p>
    <w:p w14:paraId="00125E4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BB6A81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</w:p>
    <w:p w14:paraId="095BA1A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561BC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დაიტვირთოს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736D8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3E2A5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</w:p>
    <w:p w14:paraId="6FEB11F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1CF9B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წვდომით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A491F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8051D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D0D6C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CBC40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D2BAAB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F41F3F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394CB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41817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10A2C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41590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C0125E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16F56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2D0D03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სესხულობდეს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ასესხებდეს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D00A5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წარმომშობი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ონფლიქტი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№5860)</w:t>
      </w:r>
    </w:p>
    <w:p w14:paraId="4B28C4C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612E49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DD8087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3CA6DA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7DDECD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7D31B0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C0436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2E726F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CF2D1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F02D21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43397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00540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A4B3E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95E46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6834A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მიექცეს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B8164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განსათავსებ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3C4D9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791D2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</w:p>
    <w:p w14:paraId="7B603AB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კეთილსაიმედო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5B90DE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კეთილსაიმედო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757CAF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120A0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დივერსიფიკაცია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516522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45B80A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64887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ტოლერანტულობას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აფიქსირებს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D46E0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C8F291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272F2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485A3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BA87B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F4475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B61139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638886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D5B26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2920B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ტოლერანტულობის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მატრიცას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AD8A80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დაიგეგმოს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 </w:t>
      </w:r>
    </w:p>
    <w:p w14:paraId="34B40C0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A3D8A4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EED90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08B88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9C353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B14EF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გადაისინჯოს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2F8CC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რყევებზე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39BFD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981380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D4F42B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BFD6C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E9F57C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F72BD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25A642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C1D03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5E8F5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AE255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DB7CE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14:paraId="5A53A54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F7615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5E1F5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E4690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9DFC0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დენომინირებულ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BDA3AC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0E0B3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D1CAF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მაღალრისკიანი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63911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C0E2E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სარეიტინგო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CDE52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დენომინირებულ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7DCE13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B8988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BF561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55B5C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D2B407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55501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EECFE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A9F42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08817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დენომინირებულ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A5B916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ნზიაც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5E5770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№7008)</w:t>
      </w:r>
    </w:p>
    <w:p w14:paraId="0F142F3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65465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C48A29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992680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0ADA0F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052E6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რეიტინგს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D2C76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381F3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A12918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5655DA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ოფციონებში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ფიუჩერსულ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ფორვარდულ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ჰეჯირების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დერივატივებისა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CC5B9E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790F7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№5860)</w:t>
      </w:r>
    </w:p>
    <w:p w14:paraId="7753CF9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№5860)</w:t>
      </w:r>
    </w:p>
    <w:p w14:paraId="655032B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0B591E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60AC4B4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D19BC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АА-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51A36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6F6107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№5860)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8E2769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ომპანიაზე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2ECD5F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2D99E1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№5860)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19333D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37F11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296F4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9ECD4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36BE4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2E8DE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F067DC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7152C1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249498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097359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ისესხოს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ასესხოს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EF780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რეიტინგი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DCD91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7824AA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რეიტინგს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770B6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DFDA91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74BB6A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ისესხოს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ასესხოს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AA4D4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6464E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7FDB4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0BA86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მიექცეს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47619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76A05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F2DB7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თვითდასაქმებულს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0BDA293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6CEE3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ოუყენებლობის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FC754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2BD37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5CA90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5CCD33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CF0FB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9A9E3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B3BF4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BDDBD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A780C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050D3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D8E18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50DD1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3FC96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1D53E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რეიტინგს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295BB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კეთილსაიმედოობის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B0C3F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5B9D7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დივერსიფიკაციას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B404C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27B1B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7CD888A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FF2EB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B0A17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C2F0A6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ასაკში</w:t>
      </w:r>
    </w:p>
    <w:p w14:paraId="23AFDA6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5B77D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ანუიტეტური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1150B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F516B1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874F6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FE767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138EB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გაიტანეს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5705D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877FD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დაანგარიშდება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მრწამსის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3F3AA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BB298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353E1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გადაავადოს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9AEF1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0D301D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F9C58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1BCFF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07181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341BE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51E1AF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FD779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E160A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D45B21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</w:p>
    <w:p w14:paraId="75CF25B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E7421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DF270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E8F3A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D7819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94563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BCC20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შედეგები</w:t>
      </w:r>
    </w:p>
    <w:p w14:paraId="356BF04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8EE22C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</w:p>
    <w:p w14:paraId="32B7C76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F68FE2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EBDCB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მოაზროვნე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7E2BB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5F2AB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CF7CE7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9B9308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86AD63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9B697C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CE9FEA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7DAC6C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07802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CD22A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B8290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109E342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6010E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76258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8B3058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CA7A9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14:paraId="5ACC8A9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3ED264E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14:paraId="6BE376A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4C7389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F91A85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7B52A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1ED7E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უფლებაუნარიანია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4E009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79F08F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გადააჭარბოს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0,25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0E734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69D9D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D5EB0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A6966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E3E67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bookmarkStart w:id="0" w:name="part_1"/>
      <w:bookmarkEnd w:id="0"/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ინდექსაციასთან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0D9BA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 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</w:p>
    <w:p w14:paraId="67184A00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9DBCC0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14:paraId="702EDCD7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-7,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DB1C11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D08AAD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64C1CC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6B9CBB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   </w:t>
      </w:r>
      <w:r>
        <w:rPr>
          <w:rFonts w:ascii="Sylfae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მარგველაშვილი</w:t>
      </w:r>
    </w:p>
    <w:p w14:paraId="12688D4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</w:p>
    <w:p w14:paraId="50007A04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3D55BF2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92EA86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№3303-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83BE8BA" w14:textId="77777777" w:rsidR="00000000" w:rsidRDefault="005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91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42963"/>
    <w:rsid w:val="005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691A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paragraph" w:styleId="Heading1">
    <w:name w:val="heading 1"/>
    <w:basedOn w:val="Normal0"/>
    <w:next w:val="Normal"/>
    <w:link w:val="Heading1Char1"/>
    <w:uiPriority w:val="99"/>
    <w:qFormat/>
    <w:pPr>
      <w:keepNext/>
      <w:keepLines/>
      <w:widowControl/>
      <w:spacing w:line="259" w:lineRule="auto"/>
      <w:ind w:left="2004" w:hanging="10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hAnsi="Calibri" w:cs="Calibr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uiPriority w:val="99"/>
    <w:rPr>
      <w:rFonts w:ascii="Arial" w:hAnsi="Arial" w:cs="Arial"/>
      <w:b/>
      <w:bCs/>
      <w:color w:val="000000"/>
    </w:rPr>
  </w:style>
  <w:style w:type="paragraph" w:customStyle="1" w:styleId="ColorfulList-Accent11">
    <w:name w:val="Colorful List - Accent 11"/>
    <w:basedOn w:val="Normal"/>
    <w:uiPriority w:val="99"/>
    <w:pPr>
      <w:ind w:left="720"/>
    </w:p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Lucida Grande" w:hAnsi="Lucida Grande" w:cs="Lucida Grande"/>
    </w:rPr>
  </w:style>
  <w:style w:type="character" w:customStyle="1" w:styleId="DocumentMapChar1">
    <w:name w:val="Document Map Char1"/>
    <w:basedOn w:val="DefaultParagraphFont"/>
    <w:uiPriority w:val="99"/>
    <w:rPr>
      <w:rFonts w:ascii="Lucida Grande" w:hAnsi="Lucida Grande" w:cs="Lucida Grande"/>
    </w:rPr>
  </w:style>
  <w:style w:type="character" w:customStyle="1" w:styleId="aqj">
    <w:name w:val="aqj"/>
    <w:basedOn w:val="DefaultParagraphFont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OC1">
    <w:name w:val="toc 1"/>
    <w:basedOn w:val="Normal"/>
    <w:next w:val="Normal"/>
    <w:uiPriority w:val="99"/>
    <w:pPr>
      <w:spacing w:after="100"/>
    </w:pPr>
  </w:style>
  <w:style w:type="paragraph" w:styleId="TOC2">
    <w:name w:val="toc 2"/>
    <w:basedOn w:val="Normal"/>
    <w:next w:val="Normal"/>
    <w:uiPriority w:val="99"/>
    <w:pPr>
      <w:spacing w:after="100"/>
      <w:ind w:left="2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x-none"/>
    </w:rPr>
  </w:style>
  <w:style w:type="paragraph" w:styleId="TOCHeading">
    <w:name w:val="TOC Heading"/>
    <w:basedOn w:val="Heading1"/>
    <w:next w:val="Normal"/>
    <w:uiPriority w:val="99"/>
    <w:qFormat/>
    <w:pPr>
      <w:spacing w:before="240"/>
      <w:ind w:left="0" w:firstLine="0"/>
      <w:jc w:val="left"/>
      <w:outlineLvl w:val="9"/>
    </w:pPr>
    <w:rPr>
      <w:rFonts w:ascii="Calibri" w:hAnsi="Calibri" w:cs="Calibri"/>
      <w:b w:val="0"/>
      <w:bCs w:val="0"/>
      <w:color w:val="365F91"/>
      <w:sz w:val="32"/>
      <w:szCs w:val="32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customStyle="1" w:styleId="ColorfulShading-Accent11">
    <w:name w:val="Colorful Shading - Accent 11"/>
    <w:basedOn w:val="Normal0"/>
    <w:uiPriority w:val="99"/>
    <w:pPr>
      <w:widowControl/>
    </w:pPr>
    <w:rPr>
      <w:rFonts w:ascii="Calibri" w:hAnsi="Calibri" w:cs="Calibri"/>
      <w:sz w:val="22"/>
      <w:szCs w:val="22"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basedOn w:val="Normal0"/>
    <w:uiPriority w:val="99"/>
    <w:pPr>
      <w:widowControl/>
    </w:pPr>
    <w:rPr>
      <w:rFonts w:ascii="Sylfaen" w:hAnsi="Sylfaen" w:cs="Sylfae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14151</Words>
  <Characters>80666</Characters>
  <Application>Microsoft Office Word</Application>
  <DocSecurity>0</DocSecurity>
  <Lines>672</Lines>
  <Paragraphs>189</Paragraphs>
  <ScaleCrop>false</ScaleCrop>
  <Company/>
  <LinksUpToDate>false</LinksUpToDate>
  <CharactersWithSpaces>94628</CharactersWithSpaces>
  <SharedDoc>false</SharedDoc>
  <HyperlinkBase>C:\4 (miwerili)\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