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DF09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>, 07/08/2018</w:t>
      </w:r>
    </w:p>
    <w:p w14:paraId="465B1F8E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ab/>
      </w:r>
    </w:p>
    <w:p w14:paraId="30D668C6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020000000.05.001.019068</w:t>
      </w:r>
    </w:p>
    <w:p w14:paraId="2C7E33C5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0094DD1E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69F3857D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E54F217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ადმინისტრაციულ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სამართალდარღვევათა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5BD82DF3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0F67BC11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</w:t>
      </w:r>
      <w:r>
        <w:rPr>
          <w:rFonts w:ascii="Sylfaen" w:hAnsi="Sylfaen" w:cs="Sylfaen"/>
          <w:sz w:val="24"/>
          <w:szCs w:val="24"/>
        </w:rPr>
        <w:t xml:space="preserve">, №12, 1984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421)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14:paraId="19A68429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კოდექსს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153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10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12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>:</w:t>
      </w:r>
    </w:p>
    <w:p w14:paraId="2428E446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153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10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</w:p>
    <w:p w14:paraId="4FCA20EE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</w:t>
      </w:r>
      <w:r>
        <w:rPr>
          <w:rFonts w:ascii="Sylfaen" w:hAnsi="Sylfaen" w:cs="Sylfaen"/>
          <w:sz w:val="24"/>
          <w:szCs w:val="24"/>
        </w:rPr>
        <w:t>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624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უნაღდო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ანგარიშსწორების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</w:p>
    <w:p w14:paraId="185E1997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გაფრთხილებას</w:t>
      </w:r>
      <w:r>
        <w:rPr>
          <w:rFonts w:ascii="Sylfaen" w:hAnsi="Sylfaen" w:cs="Sylfaen"/>
          <w:sz w:val="24"/>
          <w:szCs w:val="24"/>
        </w:rPr>
        <w:t>.</w:t>
      </w:r>
    </w:p>
    <w:p w14:paraId="6D086223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აღმოუფხვრელობა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</w:p>
    <w:p w14:paraId="75A9BFF7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10 000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</w:p>
    <w:p w14:paraId="0C364C43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აღმოუფხვრელობა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</w:p>
    <w:p w14:paraId="1A185E9D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>.</w:t>
      </w:r>
    </w:p>
    <w:p w14:paraId="33F27052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შენიშვნა</w:t>
      </w:r>
      <w:r>
        <w:rPr>
          <w:rFonts w:ascii="Sylfaen" w:hAnsi="Sylfaen" w:cs="Sylfaen"/>
          <w:b/>
          <w:bCs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აღმოფხვრად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624</w:t>
      </w:r>
      <w:r>
        <w:rPr>
          <w:rFonts w:ascii="Times New Roman" w:hAnsi="Times New Roman" w:cs="Times New Roman"/>
          <w:position w:val="6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</w:t>
      </w:r>
      <w:r>
        <w:rPr>
          <w:rFonts w:ascii="Sylfaen" w:hAnsi="Sylfaen" w:cs="Sylfaen"/>
          <w:sz w:val="24"/>
          <w:szCs w:val="24"/>
        </w:rPr>
        <w:t>.</w:t>
      </w:r>
    </w:p>
    <w:p w14:paraId="76CBD7F9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153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11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განვადებით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ნასყიდობის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</w:p>
    <w:p w14:paraId="052951AA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505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ნასყიდობისას</w:t>
      </w:r>
      <w:r>
        <w:rPr>
          <w:rFonts w:ascii="Sylfaen" w:hAnsi="Sylfaen" w:cs="Sylfaen"/>
          <w:sz w:val="24"/>
          <w:szCs w:val="24"/>
        </w:rPr>
        <w:t xml:space="preserve"> 100 000 (</w:t>
      </w:r>
      <w:r>
        <w:rPr>
          <w:rFonts w:ascii="Sylfaen" w:hAnsi="Sylfaen" w:cs="Sylfaen"/>
          <w:sz w:val="24"/>
          <w:szCs w:val="24"/>
        </w:rPr>
        <w:t>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</w:p>
    <w:p w14:paraId="1D2E90F2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გაფრთხილებას</w:t>
      </w:r>
      <w:r>
        <w:rPr>
          <w:rFonts w:ascii="Sylfaen" w:hAnsi="Sylfaen" w:cs="Sylfaen"/>
          <w:sz w:val="24"/>
          <w:szCs w:val="24"/>
        </w:rPr>
        <w:t>.</w:t>
      </w:r>
    </w:p>
    <w:p w14:paraId="1E7B5182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</w:t>
      </w:r>
      <w:r>
        <w:rPr>
          <w:rFonts w:ascii="Sylfaen" w:hAnsi="Sylfaen" w:cs="Sylfaen"/>
          <w:sz w:val="24"/>
          <w:szCs w:val="24"/>
        </w:rPr>
        <w:t>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აღმოუფხვრელობა</w:t>
      </w:r>
      <w:r>
        <w:rPr>
          <w:rFonts w:ascii="Sylfaen" w:hAnsi="Sylfaen" w:cs="Sylfaen"/>
          <w:sz w:val="24"/>
          <w:szCs w:val="24"/>
        </w:rPr>
        <w:t xml:space="preserve"> –</w:t>
      </w:r>
    </w:p>
    <w:p w14:paraId="7BF2A78A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1 000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</w:p>
    <w:p w14:paraId="271245A1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3.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</w:t>
      </w:r>
      <w:r>
        <w:rPr>
          <w:rFonts w:ascii="Sylfaen" w:hAnsi="Sylfaen" w:cs="Sylfaen"/>
          <w:sz w:val="24"/>
          <w:szCs w:val="24"/>
        </w:rPr>
        <w:t>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აღმოუფხვრელობა</w:t>
      </w:r>
      <w:r>
        <w:rPr>
          <w:rFonts w:ascii="Sylfaen" w:hAnsi="Sylfaen" w:cs="Sylfaen"/>
          <w:sz w:val="24"/>
          <w:szCs w:val="24"/>
        </w:rPr>
        <w:t xml:space="preserve"> –</w:t>
      </w:r>
    </w:p>
    <w:p w14:paraId="03060BEE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>.</w:t>
      </w:r>
    </w:p>
    <w:p w14:paraId="1A046628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შენიშვნა</w:t>
      </w:r>
      <w:r>
        <w:rPr>
          <w:rFonts w:ascii="Sylfaen" w:hAnsi="Sylfaen" w:cs="Sylfaen"/>
          <w:b/>
          <w:bCs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აღმოფხვრად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ნასყიდობის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ნასყიდობის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505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</w:t>
      </w:r>
      <w:r>
        <w:rPr>
          <w:rFonts w:ascii="Sylfaen" w:hAnsi="Sylfaen" w:cs="Sylfaen"/>
          <w:sz w:val="24"/>
          <w:szCs w:val="24"/>
        </w:rPr>
        <w:t>.</w:t>
      </w:r>
    </w:p>
    <w:p w14:paraId="35CFC4F5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153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ლიზინგის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საზღაურის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</w:p>
    <w:p w14:paraId="7EC3ACDD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</w:t>
      </w:r>
      <w:r>
        <w:rPr>
          <w:rFonts w:ascii="Sylfaen" w:hAnsi="Sylfaen" w:cs="Sylfaen"/>
          <w:sz w:val="24"/>
          <w:szCs w:val="24"/>
        </w:rPr>
        <w:t>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576-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100 000 (</w:t>
      </w:r>
      <w:r>
        <w:rPr>
          <w:rFonts w:ascii="Sylfaen" w:hAnsi="Sylfaen" w:cs="Sylfaen"/>
          <w:sz w:val="24"/>
          <w:szCs w:val="24"/>
        </w:rPr>
        <w:t>ასი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ლარამდე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ლიზინგის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საზღაურის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</w:p>
    <w:p w14:paraId="33CB8D87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გაფრთხილებას</w:t>
      </w:r>
      <w:r>
        <w:rPr>
          <w:rFonts w:ascii="Sylfaen" w:hAnsi="Sylfaen" w:cs="Sylfaen"/>
          <w:sz w:val="24"/>
          <w:szCs w:val="24"/>
        </w:rPr>
        <w:t>.</w:t>
      </w:r>
    </w:p>
    <w:p w14:paraId="2301359B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აღმოუფხვრელობა</w:t>
      </w:r>
      <w:r>
        <w:rPr>
          <w:rFonts w:ascii="Sylfaen" w:hAnsi="Sylfaen" w:cs="Sylfaen"/>
          <w:sz w:val="24"/>
          <w:szCs w:val="24"/>
        </w:rPr>
        <w:t xml:space="preserve"> –</w:t>
      </w:r>
    </w:p>
    <w:p w14:paraId="007252AE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1 000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</w:p>
    <w:p w14:paraId="3CDA88BF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აღმოუფხვრელობა</w:t>
      </w:r>
      <w:r>
        <w:rPr>
          <w:rFonts w:ascii="Sylfaen" w:hAnsi="Sylfaen" w:cs="Sylfaen"/>
          <w:sz w:val="24"/>
          <w:szCs w:val="24"/>
        </w:rPr>
        <w:t xml:space="preserve"> –</w:t>
      </w:r>
    </w:p>
    <w:p w14:paraId="26BCCF52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>.</w:t>
      </w:r>
    </w:p>
    <w:p w14:paraId="346A4A1E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შენიშვნა</w:t>
      </w:r>
      <w:r>
        <w:rPr>
          <w:rFonts w:ascii="Sylfaen" w:hAnsi="Sylfaen" w:cs="Sylfaen"/>
          <w:b/>
          <w:bCs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აღმოფხვრად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</w:t>
      </w:r>
      <w:r>
        <w:rPr>
          <w:rFonts w:ascii="Sylfaen" w:hAnsi="Sylfaen" w:cs="Sylfaen"/>
          <w:sz w:val="24"/>
          <w:szCs w:val="24"/>
        </w:rPr>
        <w:t>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ლიზინგის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ლიზინგის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576-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</w:t>
      </w:r>
      <w:r>
        <w:rPr>
          <w:rFonts w:ascii="Sylfaen" w:hAnsi="Sylfaen" w:cs="Sylfaen"/>
          <w:sz w:val="24"/>
          <w:szCs w:val="24"/>
        </w:rPr>
        <w:t>.“.</w:t>
      </w:r>
    </w:p>
    <w:p w14:paraId="6CAA25C1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219-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56775A8B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3BD96308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153</w:t>
      </w:r>
      <w:r>
        <w:rPr>
          <w:rFonts w:ascii="Times New Roman" w:hAnsi="Times New Roman" w:cs="Times New Roman"/>
          <w:position w:val="6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</w:rPr>
        <w:t>, 153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8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153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10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155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>, 155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>, 155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>, 165-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>, 171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 xml:space="preserve">7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194-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თავიანთი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127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129</w:t>
      </w:r>
      <w:r>
        <w:rPr>
          <w:rFonts w:ascii="Times New Roman" w:hAnsi="Times New Roman" w:cs="Times New Roman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157-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177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14</w:t>
      </w:r>
      <w:r>
        <w:rPr>
          <w:rFonts w:ascii="Sylfaen" w:hAnsi="Sylfaen" w:cs="Sylfaen"/>
          <w:sz w:val="24"/>
          <w:szCs w:val="24"/>
        </w:rPr>
        <w:t>, 191</w:t>
      </w:r>
      <w:r>
        <w:rPr>
          <w:rFonts w:ascii="Times New Roman" w:hAnsi="Times New Roman" w:cs="Times New Roman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195-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საქმეებს</w:t>
      </w:r>
      <w:r>
        <w:rPr>
          <w:rFonts w:ascii="Sylfaen" w:hAnsi="Sylfaen" w:cs="Sylfaen"/>
          <w:sz w:val="24"/>
          <w:szCs w:val="24"/>
        </w:rPr>
        <w:t>.“;</w:t>
      </w:r>
    </w:p>
    <w:p w14:paraId="1DB91043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FB19276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153</w:t>
      </w:r>
      <w:r>
        <w:rPr>
          <w:rFonts w:ascii="Times New Roman" w:hAnsi="Times New Roman" w:cs="Times New Roman"/>
          <w:position w:val="6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</w:rPr>
        <w:t>, 153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8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153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10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</w:t>
      </w:r>
      <w:r>
        <w:rPr>
          <w:rFonts w:ascii="Sylfaen" w:hAnsi="Sylfaen" w:cs="Sylfaen"/>
          <w:sz w:val="24"/>
          <w:szCs w:val="24"/>
        </w:rPr>
        <w:t>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გამოკვლევას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საამისოდ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სამართალდამრღვევ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ადგილზევე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სახდელს</w:t>
      </w:r>
      <w:r>
        <w:rPr>
          <w:rFonts w:ascii="Sylfaen" w:hAnsi="Sylfaen" w:cs="Sylfaen"/>
          <w:sz w:val="24"/>
          <w:szCs w:val="24"/>
        </w:rPr>
        <w:t>.“.</w:t>
      </w:r>
    </w:p>
    <w:p w14:paraId="3A4C9495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239-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70-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6ECD832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„70.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153</w:t>
      </w:r>
      <w:r>
        <w:rPr>
          <w:rFonts w:ascii="Times New Roman" w:hAnsi="Times New Roman" w:cs="Times New Roman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</w:rPr>
        <w:t>, 153</w:t>
      </w:r>
      <w:r>
        <w:rPr>
          <w:rFonts w:ascii="Times New Roman" w:hAnsi="Times New Roman" w:cs="Times New Roman"/>
          <w:position w:val="6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8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153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10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საამისოდ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>.“.</w:t>
      </w:r>
    </w:p>
    <w:p w14:paraId="672EB540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>.</w:t>
      </w:r>
    </w:p>
    <w:p w14:paraId="05EC5635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6B3EFB1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</w:p>
    <w:p w14:paraId="4FFF3B3B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D902FC9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6F85F454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21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00FB3135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N3316-</w:t>
      </w:r>
      <w:r>
        <w:rPr>
          <w:rFonts w:ascii="Sylfaen" w:hAnsi="Sylfaen" w:cs="Sylfaen"/>
          <w:sz w:val="24"/>
          <w:szCs w:val="24"/>
        </w:rPr>
        <w:t>რს</w:t>
      </w:r>
    </w:p>
    <w:p w14:paraId="3F9B66F1" w14:textId="77777777" w:rsidR="00000000" w:rsidRDefault="000D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D3154"/>
    <w:rsid w:val="000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162E9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