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7799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>, 07/08/2018</w:t>
      </w:r>
    </w:p>
    <w:p w14:paraId="14BAFDEE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ab/>
      </w:r>
    </w:p>
    <w:p w14:paraId="64AC42AA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220010000.04.001.016231</w:t>
      </w:r>
    </w:p>
    <w:p w14:paraId="3F865E3B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20D9DB8C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60C842BA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DB4D499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ეროვნული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ბანკის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ორგანულ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1D4CFB87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2D5A2CF5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№29, 12.10.2009,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159)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14:paraId="777B6E58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554520C6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5807410B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7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z w:val="24"/>
          <w:szCs w:val="24"/>
        </w:rPr>
        <w:t>გუფი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ერთდროულად</w:t>
      </w:r>
      <w:r>
        <w:rPr>
          <w:rFonts w:ascii="Sylfaen" w:hAnsi="Sylfaen" w:cs="Sylfaen"/>
          <w:sz w:val="24"/>
          <w:szCs w:val="24"/>
        </w:rPr>
        <w:t xml:space="preserve"> 20-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სასესხო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>;“;</w:t>
      </w:r>
    </w:p>
    <w:p w14:paraId="2957192A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8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9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0D6D35C1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9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ურთიერთდაკავშირებულ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z w:val="24"/>
          <w:szCs w:val="24"/>
        </w:rPr>
        <w:t>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ერთმანეთის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ერთმანეთის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აქციების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50%-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50%-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ფლობენ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ერთმანეთის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სათავო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შვილობილ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აფილირებულ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z w:val="24"/>
          <w:szCs w:val="24"/>
        </w:rPr>
        <w:t>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ერთმანეთის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მემკვიდრეები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>.“.</w:t>
      </w:r>
    </w:p>
    <w:p w14:paraId="31B3EA42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2. 48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5E2EA1D8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E03BA54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მიკროსაფინანსო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</w:t>
      </w:r>
      <w:r>
        <w:rPr>
          <w:rFonts w:ascii="Sylfaen" w:hAnsi="Sylfaen" w:cs="Sylfaen"/>
          <w:sz w:val="24"/>
          <w:szCs w:val="24"/>
        </w:rPr>
        <w:t>ზაციად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არასაბანკო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სადეპოზიტო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საკრედიტო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20-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პირისაგან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მეწარმისაგან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მოიზიდოს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აწარმოოს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წრისაგან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დაბრუნებადი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მოზიდვის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რეკლამირება</w:t>
      </w:r>
      <w:r>
        <w:rPr>
          <w:rFonts w:ascii="Sylfaen" w:hAnsi="Sylfaen" w:cs="Sylfaen"/>
          <w:sz w:val="24"/>
          <w:szCs w:val="24"/>
        </w:rPr>
        <w:t>.“;</w:t>
      </w:r>
    </w:p>
    <w:p w14:paraId="301000B5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>.</w:t>
      </w:r>
    </w:p>
    <w:p w14:paraId="70F7F193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3. 52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 xml:space="preserve">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14:paraId="72FB7BBA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34C67AFE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გაუწიოს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</w:t>
      </w:r>
      <w:r>
        <w:rPr>
          <w:rFonts w:ascii="Sylfaen" w:hAnsi="Sylfaen" w:cs="Sylfaen"/>
          <w:sz w:val="24"/>
          <w:szCs w:val="24"/>
        </w:rPr>
        <w:t>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შემოწმებასა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შეზღუდვებისა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დაწესებას</w:t>
      </w:r>
      <w:r>
        <w:rPr>
          <w:rFonts w:ascii="Sylfaen" w:hAnsi="Sylfaen" w:cs="Sylfaen"/>
          <w:sz w:val="24"/>
          <w:szCs w:val="24"/>
        </w:rPr>
        <w:t>.“;</w:t>
      </w:r>
    </w:p>
    <w:p w14:paraId="3D6935D2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14:paraId="08428113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ფულადი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მოძრავი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</w:t>
      </w:r>
      <w:r>
        <w:rPr>
          <w:rFonts w:ascii="Sylfaen" w:hAnsi="Sylfaen" w:cs="Sylfaen"/>
          <w:sz w:val="24"/>
          <w:szCs w:val="24"/>
        </w:rPr>
        <w:t>.“.</w:t>
      </w:r>
    </w:p>
    <w:p w14:paraId="7A5E69D3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4. 64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14:paraId="130EBF23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64</w:t>
      </w:r>
      <w:r>
        <w:rPr>
          <w:rFonts w:ascii="Times New Roman" w:hAnsi="Times New Roman" w:cs="Times New Roman"/>
          <w:position w:val="6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მომხმარებლის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</w:t>
      </w:r>
    </w:p>
    <w:p w14:paraId="37C76261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ეროვნულმა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ბანკმა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გამცემი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>:</w:t>
      </w:r>
    </w:p>
    <w:p w14:paraId="7715F3B5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625-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წინსწრებით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საკომისიოსთვის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868-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>;</w:t>
      </w:r>
    </w:p>
    <w:p w14:paraId="20336A1B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სესხის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კრედიტის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სახსრების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მოზიდვისას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;</w:t>
      </w:r>
    </w:p>
    <w:p w14:paraId="6F7A5151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276-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-300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301-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>.“.</w:t>
      </w:r>
    </w:p>
    <w:p w14:paraId="428E8384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>.</w:t>
      </w:r>
    </w:p>
    <w:p w14:paraId="705838CA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0387956C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ab/>
      </w:r>
      <w:r>
        <w:rPr>
          <w:rFonts w:ascii="Sylfaen" w:hAnsi="Sylfaen" w:cs="Sylfaen"/>
          <w:sz w:val="24"/>
          <w:szCs w:val="24"/>
        </w:rPr>
        <w:tab/>
        <w:t xml:space="preserve">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</w:p>
    <w:p w14:paraId="037C036A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79BAF4E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3AA12D36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21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54503D58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N3320-</w:t>
      </w:r>
      <w:r>
        <w:rPr>
          <w:rFonts w:ascii="Sylfaen" w:hAnsi="Sylfaen" w:cs="Sylfaen"/>
          <w:sz w:val="24"/>
          <w:szCs w:val="24"/>
        </w:rPr>
        <w:t>რს</w:t>
      </w:r>
    </w:p>
    <w:p w14:paraId="254E32CF" w14:textId="77777777" w:rsidR="00000000" w:rsidRDefault="00D674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67466"/>
    <w:rsid w:val="00D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E446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