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№12, 1984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421)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1. 22-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„</w:t>
      </w:r>
      <w:hyperlink r:id="rId4" w:anchor="!" w:history="1">
        <w:r>
          <w:rPr>
            <w:rFonts w:ascii="Sylfaen" w:eastAsia="Times New Roman" w:hAnsi="Sylfaen" w:cs="Sylfaen"/>
            <w:color w:val="000000"/>
            <w:sz w:val="24"/>
            <w:szCs w:val="24"/>
            <w:lang w:eastAsia="x-none"/>
          </w:rPr>
          <w:t>მუხლი 22. მცირემნიშვნელოვანი ადმინისტრაციული სამართალდარღვევის ჩადენისას დამრღვევის ადმინისტრაციული პასუხისმგებლობისაგან გათა</w:t>
        </w:r>
        <w:r>
          <w:rPr>
            <w:rFonts w:ascii="Sylfaen" w:eastAsia="Times New Roman" w:hAnsi="Sylfaen" w:cs="Sylfaen"/>
            <w:color w:val="000000"/>
            <w:sz w:val="24"/>
            <w:szCs w:val="24"/>
            <w:lang w:eastAsia="x-none"/>
          </w:rPr>
          <w:t>ვისუფლების შესაძლებლობა</w:t>
        </w:r>
      </w:hyperlink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eastAsia="x-none"/>
        </w:rPr>
      </w:pPr>
      <w:r>
        <w:rPr>
          <w:rFonts w:ascii="Sylfaen" w:hAnsi="Sylfaen" w:cs="Sylfaen"/>
          <w:color w:val="000000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ჩადენილია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მცირემნიშვნელოვანი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სამართალდარღვევა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გადასაწყვეტად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გაათავისუფლოს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დამრღვევი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დასჯერდეს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სიტყვიერ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შენიშვნას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სიტყვიერი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ჩადენილია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დამრღვევის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ქმედებისათვის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იყო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სიტყვიერი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2. 24-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„3.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მოკლელულიანი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ხრახნილლულიანი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3. 38-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განსჯად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, 63-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66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86-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–159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9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, 63-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66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86-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–159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9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განსჯად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4. 40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5. 49-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თვითნებური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6. 51-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ნაყოფიერი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სამელიორაციო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ჩაუტარებლობა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რეკულტივაციის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ეროზიისა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გამაუარესებელი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მიწათმოსარგებლეზე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7. 51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ნაყოფიერი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ნაყოფიერი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1 750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8. 51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სუბალპური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ალპური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საწვავად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სუბალპური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ალპური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საწვავად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9. 53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დაუბრუნებლობა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არამიზნობრივი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არამიზნობრივი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10. 55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სამიჯნე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სამიჯნე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11. 57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1 000-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გადაიყვანოს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12. 57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ცხრამაგი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13. 59-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სახომალდო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მინარევებთან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მეთაურთა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სახომალდო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გადამეტებით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მინარევებთან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სახომალდო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14. 59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ხელსაწყოების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პაციენტის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დასხივება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გაფართოების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დასხივება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გამოუწვევია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გამოეწვია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1 800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მაიონებელი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გამოსხივების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მაგენერირებელი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გენერატორებისადმი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15. 63-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ტყეკაფის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ტყეკაფის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ზეზეურად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გრადუსამდე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ფერდობებზე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16. 64-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ბუჩქნარისა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ბუჩქნარისა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სანერგეებსა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პლანტაციებში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64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გაჩეხვ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გაჩეხვა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17. 66-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ცხრამაგი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18. 66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სოჭის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გირჩითა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CITES)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დანართებში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თეთრყვავილას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ბოლქვებით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ყოჩივარდას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გორგლებით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ცხრამაგი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19. 66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1.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(CITES)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დანართებში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დერივატების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რეექსპორტისა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ცხრამაგი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20. 68-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მინდვრების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სათიბი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საძოვარი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სავარგულების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წვრილფეხა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პირუტყვზ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მსხვილფეხა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რქოსან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პირუტყვზე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წვრილფეხა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პირუტყვზე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მსხვილფეხა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რქოსან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პირუტყვზე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წვრილფეხა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პირუტყვზე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მსხვილფეხა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რქოსან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პირუტყვზე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წვრილფეხა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პირუტყვზე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მსხვილფეხა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რქოსან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პირუტყვზე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21. 73-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დასაშრობი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თხრილების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სადრენაჟო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დასაშრობი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თხრილების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სადრენაჟო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სამიჯნე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ტყეებში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სამიჯნე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22. 77-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ატმოსფერული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გაფრქვეულ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უქონლობა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23. 79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ცხრამაგი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ცხრამაგი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24. 79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ოზონდამშლელი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ცხრამაგი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25. 79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ცხრამაგი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სიტყვიერი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27. 84-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 66-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66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,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,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28. 85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კვერცხის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კვერცხის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მოჰყვეს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საბინადრო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დატყვევება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კვერცხის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მოჰყვეს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საბინადრო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დატყვევება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29. 86-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სამოყვარულო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–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სიგრძის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კატარღა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ნახევარბარკასი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ელექტროშოკის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თვითნაკეთი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ხელსაწყოთი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მომწამლავი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სიგრძის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რღვევებისა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მარაგის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გადამფრენ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ფრინველებზე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–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-13–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-13–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-13–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–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3 000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მიქცევა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გაანაწილოს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უვარგისობის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ახასიათებს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აღენიშნება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უჩვეულო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უსიამოვნო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გაანადგუროს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დამარხვით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ინსინერატორში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ჩამორთმევი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გასამმაგებას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ცხრამაგი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30. 87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87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ეტიკეტირების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31. 89-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89.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32. 89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თევზსაჭერი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თევზსაჭერი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ჭარბტენიანი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33. 128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გადამამუშავებელი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სახერხი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საამქროს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ჟურნალში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ფირნიშის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ფირნიშის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ფირნიშის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გადამამუშავებელი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სახერხი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საამქროს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34. 208-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(21.09.2018 N3532)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208.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43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49-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50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51-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56-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–59-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59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-60, 60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63-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65-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66-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69-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71-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71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72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–78-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79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–81-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82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82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82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84-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–86-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87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89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91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91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94-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95-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99-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103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104-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–128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143-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>, 145-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151-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153-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eastAsia="Times New Roman" w:hAnsi="Sylfaen" w:cs="Sylfaen"/>
          <w:sz w:val="24"/>
          <w:szCs w:val="24"/>
          <w:lang w:val="en-US"/>
        </w:rPr>
        <w:t>–153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154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-11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eastAsia="Times New Roman" w:hAnsi="Sylfaen" w:cs="Sylfaen"/>
          <w:sz w:val="24"/>
          <w:szCs w:val="24"/>
          <w:lang w:val="en-US"/>
        </w:rPr>
        <w:t>–155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>, 156-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–158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159-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159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eastAsia="Times New Roman" w:hAnsi="Sylfaen" w:cs="Sylfaen"/>
          <w:sz w:val="24"/>
          <w:szCs w:val="24"/>
          <w:lang w:val="en-US"/>
        </w:rPr>
        <w:t>–159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>, 163-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164-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164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165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–165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166-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171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-4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-8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eastAsia="Times New Roman" w:hAnsi="Sylfaen" w:cs="Sylfaen"/>
          <w:sz w:val="24"/>
          <w:szCs w:val="24"/>
          <w:lang w:val="en-US"/>
        </w:rPr>
        <w:t>–172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, 173-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173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eastAsia="Times New Roman" w:hAnsi="Sylfaen" w:cs="Sylfaen"/>
          <w:sz w:val="24"/>
          <w:szCs w:val="24"/>
          <w:lang w:val="en-US"/>
        </w:rPr>
        <w:t>–173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>, 173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, 173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175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177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>, 177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, 177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177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), 178-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179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–179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180-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181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183-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187-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187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189-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192-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195-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196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196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, 197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197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35. 209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(21.09.2018 N3532)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82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), 103-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107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114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135-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135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150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151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, 158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(21.09.2018 N3532)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), 119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შეუფარდებს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).“.“;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36. 219-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(21.07.2018 N3317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>, 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153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​​​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​​​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165-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​​​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​​​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127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​​​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129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​​​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157-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177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​​​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14</w:t>
      </w:r>
      <w:r>
        <w:rPr>
          <w:rFonts w:ascii="Sylfaen" w:hAnsi="Sylfaen" w:cs="Sylfaen"/>
          <w:sz w:val="24"/>
          <w:szCs w:val="24"/>
          <w:lang w:eastAsia="x-none"/>
        </w:rPr>
        <w:t>, 191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​​​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.”.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155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37. 222-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№2196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51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51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55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,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             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58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58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59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-60, 60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61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69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–69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>, 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71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72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–79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79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>, 79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–82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85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87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–87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89-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–89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91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103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128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128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(29.06.2018.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№2756)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-13,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87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,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, 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128</w:t>
      </w:r>
      <w:r>
        <w:rPr>
          <w:rFonts w:ascii="Sylfaen" w:hAnsi="Sylfaen" w:cs="Sylfaen"/>
          <w:position w:val="10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, 53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, 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-10–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38. 239-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49-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54-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55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55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, 56-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                  58-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–59-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-60, 60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 61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63-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65-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69-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–69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>, 71-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72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77-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>,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–82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82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პლასტიკ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84-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86-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87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–87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–89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91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103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    104-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–128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49-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–52-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54-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–58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58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-60, 60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 61-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63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–74-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–85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86-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-13–21-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89-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89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ახმეტის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(21.09.2018 N3532)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43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, 51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55-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82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), 107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114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146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151-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(21.09.2018 N3532)</w:t>
      </w:r>
    </w:p>
    <w:p w:rsidR="00000000" w:rsidRDefault="00C213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82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პლასტიკის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ბიოდეგრადირებადი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), 91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91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127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135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, 153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155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155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155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155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, 155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>, 155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>, 157-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158-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164-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164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, 165-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165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171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, 178-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179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, 194-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39. 242-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ქვითარს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ქვითარს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გამოუწერს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ქვითარს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ქვითრების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40. 252-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„2.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48-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49-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50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51-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56-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59-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59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-60, 60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61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63-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65-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69-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69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, 69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>, 71-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78-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81-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82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85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86-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88-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89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 91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92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94</w:t>
      </w:r>
      <w:r>
        <w:rPr>
          <w:rFonts w:ascii="Sylfae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95-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96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96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96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, 98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99-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100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100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                          103-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–104-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105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134-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143-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144-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146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148-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152-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152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  153-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–153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>, 154-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154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156-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157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–158-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164-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164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, 165-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165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166-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167-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172-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172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, 173-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–173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173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>, 173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>, 173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9</w:t>
      </w:r>
      <w:r>
        <w:rPr>
          <w:rFonts w:ascii="Sylfaen" w:hAnsi="Sylfaen" w:cs="Sylfaen"/>
          <w:sz w:val="24"/>
          <w:szCs w:val="24"/>
          <w:lang w:eastAsia="x-none"/>
        </w:rPr>
        <w:t>, 174-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–174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175-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175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177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177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>, 177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9</w:t>
      </w:r>
      <w:r>
        <w:rPr>
          <w:rFonts w:ascii="Sylfaen" w:hAnsi="Sylfaen" w:cs="Sylfaen"/>
          <w:sz w:val="24"/>
          <w:szCs w:val="24"/>
          <w:lang w:eastAsia="x-none"/>
        </w:rPr>
        <w:t>, 179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180-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–183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185-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–185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 187-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187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, 189-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192-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195-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196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197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7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გამოძახებით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მიყვანილი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</w:t>
      </w:r>
      <w:r>
        <w:rPr>
          <w:rFonts w:ascii="Sylfaen" w:hAnsi="Sylfaen" w:cs="Sylfaen"/>
          <w:sz w:val="24"/>
          <w:szCs w:val="24"/>
          <w:lang w:eastAsia="x-none"/>
        </w:rPr>
        <w:t>2196-II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C21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21364"/>
    <w:rsid w:val="00C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99"/>
    <w:pPr>
      <w:ind w:left="117"/>
    </w:pPr>
    <w:rPr>
      <w:rFonts w:ascii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28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8231</Words>
  <Characters>46922</Characters>
  <Application>Microsoft Office Word</Application>
  <DocSecurity>0</DocSecurity>
  <Lines>391</Lines>
  <Paragraphs>110</Paragraphs>
  <ScaleCrop>false</ScaleCrop>
  <Company/>
  <LinksUpToDate>false</LinksUpToDate>
  <CharactersWithSpaces>55043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