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ტერიტორიების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ტერმინების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>" _ "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>" _ "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ბიოსფერული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რეზერვატების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</w:t>
      </w:r>
      <w:r>
        <w:rPr>
          <w:rFonts w:ascii="Sylfaen" w:eastAsia="Times New Roman" w:hAnsi="Sylfaen" w:cs="Sylfaen"/>
          <w:lang w:eastAsia="x-none"/>
        </w:rPr>
        <w:t>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(IUCN)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I </w:t>
      </w:r>
      <w:r>
        <w:rPr>
          <w:rFonts w:ascii="Sylfaen" w:eastAsia="Times New Roman" w:hAnsi="Sylfaen" w:cs="Sylfaen"/>
          <w:lang w:eastAsia="x-none"/>
        </w:rPr>
        <w:t>კატეგორიას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რეზერვატი</w:t>
      </w:r>
      <w:r>
        <w:rPr>
          <w:rFonts w:ascii="Sylfaen" w:eastAsia="Times New Roman" w:hAnsi="Sylfaen" w:cs="Sylfaen"/>
          <w:lang w:eastAsia="x-none"/>
        </w:rPr>
        <w:t xml:space="preserve"> (Strict Na</w:t>
      </w:r>
      <w:r>
        <w:rPr>
          <w:rFonts w:ascii="Sylfaen" w:eastAsia="Times New Roman" w:hAnsi="Sylfaen" w:cs="Sylfaen"/>
          <w:lang w:eastAsia="x-none"/>
        </w:rPr>
        <w:t>ture Reserve / Wilderness Area);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(IUCN)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II </w:t>
      </w:r>
      <w:r>
        <w:rPr>
          <w:rFonts w:ascii="Sylfaen" w:eastAsia="Times New Roman" w:hAnsi="Sylfaen" w:cs="Sylfaen"/>
          <w:lang w:eastAsia="x-none"/>
        </w:rPr>
        <w:t>კატეგორიას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  (National Park);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</w:t>
      </w:r>
      <w:r>
        <w:rPr>
          <w:rFonts w:ascii="Sylfaen" w:eastAsia="Times New Roman" w:hAnsi="Sylfaen" w:cs="Sylfaen"/>
          <w:lang w:eastAsia="x-none"/>
        </w:rPr>
        <w:t>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(IUCN)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IV </w:t>
      </w:r>
      <w:r>
        <w:rPr>
          <w:rFonts w:ascii="Sylfaen" w:eastAsia="Times New Roman" w:hAnsi="Sylfaen" w:cs="Sylfaen"/>
          <w:lang w:eastAsia="x-none"/>
        </w:rPr>
        <w:t>კატეგორიას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ჰაბიტატების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(Habitat / Species Managment Area);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(IUCN)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VI </w:t>
      </w:r>
      <w:r>
        <w:rPr>
          <w:rFonts w:ascii="Sylfaen" w:eastAsia="Times New Roman" w:hAnsi="Sylfaen" w:cs="Sylfaen"/>
          <w:lang w:eastAsia="x-none"/>
        </w:rPr>
        <w:t>კატეგორიას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(Managed Resource Protected Area);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ანთროპოგენური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</w:t>
      </w:r>
      <w:r>
        <w:rPr>
          <w:rFonts w:ascii="Sylfaen" w:eastAsia="Times New Roman" w:hAnsi="Sylfaen" w:cs="Sylfaen"/>
          <w:lang w:eastAsia="x-none"/>
        </w:rPr>
        <w:t>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გარდამქმნელი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უმეტესწილად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მოსდევს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წონასწორობის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აღუდგენელი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ვიზიტორი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მანიპულაციები</w:t>
      </w:r>
      <w:r>
        <w:rPr>
          <w:rFonts w:ascii="Sylfaen" w:eastAsia="Times New Roman" w:hAnsi="Sylfaen" w:cs="Sylfaen"/>
          <w:lang w:eastAsia="x-none"/>
        </w:rPr>
        <w:t xml:space="preserve">"  _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პატრონობის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ლაბორატორიებისა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ინტროდუქცია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რეინტროდუქცია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</w:t>
      </w:r>
      <w:r>
        <w:rPr>
          <w:rFonts w:ascii="Sylfaen" w:eastAsia="Times New Roman" w:hAnsi="Sylfaen" w:cs="Sylfaen"/>
          <w:lang w:eastAsia="x-none"/>
        </w:rPr>
        <w:t>ანსლოკაცია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სატყეო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გეგმარებითი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განხორციელებად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ორიენტირებული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დაგეგმარება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დეტალიზაციით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განსახლების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სქემებითა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ზონებისთვის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33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(23.05.2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007 N 4791)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"  _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პროგნოზირების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</w:t>
      </w:r>
      <w:r>
        <w:rPr>
          <w:rFonts w:ascii="Sylfaen" w:eastAsia="Times New Roman" w:hAnsi="Sylfaen" w:cs="Sylfaen"/>
          <w:lang w:eastAsia="x-none"/>
        </w:rPr>
        <w:t xml:space="preserve">"  _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შეუქცევადი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</w:t>
      </w:r>
      <w:r>
        <w:rPr>
          <w:rFonts w:ascii="Sylfaen" w:eastAsia="Times New Roman" w:hAnsi="Sylfaen" w:cs="Sylfaen"/>
          <w:lang w:eastAsia="x-none"/>
        </w:rPr>
        <w:t>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მაქსიმალურად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ეკოსისტემა</w:t>
      </w:r>
      <w:r>
        <w:rPr>
          <w:rFonts w:ascii="Sylfaen" w:eastAsia="Times New Roman" w:hAnsi="Sylfaen" w:cs="Sylfaen"/>
          <w:lang w:eastAsia="x-none"/>
        </w:rPr>
        <w:t xml:space="preserve">"  _ </w:t>
      </w:r>
      <w:r>
        <w:rPr>
          <w:rFonts w:ascii="Sylfaen" w:eastAsia="Times New Roman" w:hAnsi="Sylfaen" w:cs="Sylfaen"/>
          <w:lang w:eastAsia="x-none"/>
        </w:rPr>
        <w:t>გარკვეულ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არაორგანულ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</w:t>
      </w:r>
      <w:r>
        <w:rPr>
          <w:rFonts w:ascii="Sylfaen" w:eastAsia="Times New Roman" w:hAnsi="Sylfaen" w:cs="Sylfaen"/>
          <w:lang w:eastAsia="x-none"/>
        </w:rPr>
        <w:t>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ჭაობები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ჭანჭრობები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ტორფიანი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წყალსატევები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ხელოვნური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გამდინარი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გაუდინარი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მტკნარი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მარი</w:t>
      </w:r>
      <w:r>
        <w:rPr>
          <w:rFonts w:ascii="Sylfaen" w:eastAsia="Times New Roman" w:hAnsi="Sylfaen" w:cs="Sylfaen"/>
          <w:lang w:eastAsia="x-none"/>
        </w:rPr>
        <w:t>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მარილიანი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სიღრმე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მეტრს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"  _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" 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>, N 17, 1994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344);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რამსარის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" _ 1971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რამსარის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ფრინველთა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საბინადროდ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" (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უწყებანი</w:t>
      </w:r>
      <w:r>
        <w:rPr>
          <w:rFonts w:ascii="Sylfaen" w:eastAsia="Times New Roman" w:hAnsi="Sylfaen" w:cs="Sylfaen"/>
          <w:lang w:eastAsia="x-none"/>
        </w:rPr>
        <w:t xml:space="preserve">,  N 008, 1996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.);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) "in-situ 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 xml:space="preserve">" _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>) "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ბუფერული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"  _ 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გარშემო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(1.06.2017 N901)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რამსარის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დაარეგულიროს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გამორჩეული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ლანდშაფტების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გენოფონდის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(06.06.2003 N2371)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რეკრეაციის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</w:t>
      </w:r>
      <w:r>
        <w:rPr>
          <w:rFonts w:ascii="Sylfaen" w:eastAsia="Times New Roman" w:hAnsi="Sylfaen" w:cs="Sylfaen"/>
          <w:lang w:eastAsia="x-none"/>
        </w:rPr>
        <w:t>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ტყეების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</w:t>
      </w:r>
      <w:r>
        <w:rPr>
          <w:rFonts w:ascii="Sylfaen" w:eastAsia="Times New Roman" w:hAnsi="Sylfaen" w:cs="Sylfaen"/>
          <w:lang w:eastAsia="x-none"/>
        </w:rPr>
        <w:t>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სანაპირო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წონასწორობის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ლანდშაფტებისა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კომპეტენციათა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გამიჯვნა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მართვასთან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ურთიერთობათა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მოწესრიგების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>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 N6929)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</w:t>
      </w:r>
      <w:r>
        <w:rPr>
          <w:rFonts w:ascii="Sylfaen" w:eastAsia="Times New Roman" w:hAnsi="Sylfaen" w:cs="Sylfaen"/>
          <w:lang w:val="en-US"/>
        </w:rPr>
        <w:t>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სფეროში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</w:t>
      </w:r>
      <w:r>
        <w:rPr>
          <w:rFonts w:ascii="Sylfaen" w:eastAsia="Times New Roman" w:hAnsi="Sylfaen" w:cs="Sylfaen"/>
          <w:b/>
          <w:bCs/>
          <w:lang w:eastAsia="x-none"/>
        </w:rPr>
        <w:t>ტორიების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-8_10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კოლხეთის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პარკის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მდებარეობა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(7.06.2022 N1615)</w:t>
      </w: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ფართობია</w:t>
      </w:r>
      <w:r>
        <w:rPr>
          <w:rFonts w:ascii="Sylfaen" w:eastAsia="Times New Roman" w:hAnsi="Sylfaen" w:cs="Sylfaen"/>
          <w:lang w:val="en-US"/>
        </w:rPr>
        <w:t xml:space="preserve"> 44980 </w:t>
      </w:r>
      <w:r>
        <w:rPr>
          <w:rFonts w:ascii="Sylfaen" w:eastAsia="Times New Roman" w:hAnsi="Sylfaen" w:cs="Sylfaen"/>
          <w:lang w:val="en-US"/>
        </w:rPr>
        <w:t>ჰექტარი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ხმელეთისა</w:t>
      </w:r>
      <w:r>
        <w:rPr>
          <w:rFonts w:ascii="Sylfaen" w:eastAsia="Times New Roman" w:hAnsi="Sylfaen" w:cs="Sylfaen"/>
          <w:lang w:val="en-US"/>
        </w:rPr>
        <w:t xml:space="preserve"> – 29229 </w:t>
      </w:r>
      <w:r>
        <w:rPr>
          <w:rFonts w:ascii="Sylfaen" w:eastAsia="Times New Roman" w:hAnsi="Sylfaen" w:cs="Sylfaen"/>
          <w:lang w:val="en-US"/>
        </w:rPr>
        <w:t>ჰექტარი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აკვატორიისა</w:t>
      </w:r>
      <w:r>
        <w:rPr>
          <w:rFonts w:ascii="Sylfaen" w:eastAsia="Times New Roman" w:hAnsi="Sylfaen" w:cs="Sylfaen"/>
          <w:lang w:val="en-US"/>
        </w:rPr>
        <w:t xml:space="preserve"> – 15751 </w:t>
      </w:r>
      <w:r>
        <w:rPr>
          <w:rFonts w:ascii="Sylfaen" w:eastAsia="Times New Roman" w:hAnsi="Sylfaen" w:cs="Sylfaen"/>
          <w:lang w:val="en-US"/>
        </w:rPr>
        <w:t>ჰექტარი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>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ჩრდილოეთი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სამხრეთი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აკვატორიები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ჩრდილოეთი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აკვატორიის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 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1022"/>
        <w:gridCol w:w="1108"/>
        <w:gridCol w:w="1042"/>
        <w:gridCol w:w="1022"/>
        <w:gridCol w:w="1108"/>
        <w:gridCol w:w="1042"/>
        <w:gridCol w:w="1061"/>
        <w:gridCol w:w="1376"/>
      </w:tblGrid>
      <w:tr w:rsidR="00000000">
        <w:trPr>
          <w:trHeight w:val="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</w:tr>
      <w:tr w:rsidR="00000000">
        <w:trPr>
          <w:trHeight w:val="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704530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4693509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715101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4688593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714127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4685601 </w:t>
            </w:r>
          </w:p>
        </w:tc>
      </w:tr>
      <w:tr w:rsidR="00000000">
        <w:trPr>
          <w:trHeight w:val="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713383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4693252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716076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4685712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710183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4685780 </w:t>
            </w:r>
          </w:p>
        </w:tc>
      </w:tr>
      <w:tr w:rsidR="00000000">
        <w:trPr>
          <w:trHeight w:val="7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714469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4690468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716349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4684437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707275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4685918 </w:t>
            </w:r>
          </w:p>
        </w:tc>
      </w:tr>
    </w:tbl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სამხრეთი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აკვატორიის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"/>
        <w:gridCol w:w="1020"/>
        <w:gridCol w:w="961"/>
        <w:gridCol w:w="473"/>
        <w:gridCol w:w="1021"/>
        <w:gridCol w:w="961"/>
        <w:gridCol w:w="473"/>
        <w:gridCol w:w="885"/>
        <w:gridCol w:w="961"/>
        <w:gridCol w:w="473"/>
        <w:gridCol w:w="871"/>
        <w:gridCol w:w="961"/>
      </w:tblGrid>
      <w:tr w:rsidR="00000000">
        <w:trPr>
          <w:trHeight w:val="5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</w:tr>
      <w:tr w:rsidR="00000000">
        <w:trPr>
          <w:trHeight w:val="52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707445.8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4685227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715961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4684345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717104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4683755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714453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4675784 </w:t>
            </w:r>
          </w:p>
        </w:tc>
      </w:tr>
      <w:tr w:rsidR="00000000">
        <w:trPr>
          <w:trHeight w:val="5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710260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4685407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716035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4683994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717230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4683683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707064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4675311 </w:t>
            </w:r>
          </w:p>
        </w:tc>
      </w:tr>
      <w:tr w:rsidR="00000000">
        <w:trPr>
          <w:trHeight w:val="52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713677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4685395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716250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4683880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716971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4676726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708511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4680982 </w:t>
            </w:r>
          </w:p>
        </w:tc>
      </w:tr>
      <w:tr w:rsidR="00000000">
        <w:trPr>
          <w:trHeight w:val="5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713960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4685130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716506.5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4683983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717210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4675342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54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714371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4685216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716837.4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4683882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715727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2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</w:tbl>
    <w:p w:rsidR="00000000" w:rsidRDefault="004556DD">
      <w:pPr>
        <w:pStyle w:val="NormalWeb"/>
        <w:tabs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left="1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                                                                           </w:t>
      </w:r>
      <w:r>
        <w:rPr>
          <w:rFonts w:ascii="Sylfaen" w:hAnsi="Sylfaen" w:cs="Sylfaen"/>
          <w:lang w:val="en-US"/>
        </w:rPr>
        <w:t xml:space="preserve">                                                                           . </w:t>
      </w:r>
    </w:p>
    <w:p w:rsidR="00000000" w:rsidRDefault="004556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 3.   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>   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>   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>   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>   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>   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2"/>
        <w:gridCol w:w="896"/>
        <w:gridCol w:w="912"/>
        <w:gridCol w:w="580"/>
        <w:gridCol w:w="912"/>
        <w:gridCol w:w="912"/>
        <w:gridCol w:w="550"/>
        <w:gridCol w:w="912"/>
        <w:gridCol w:w="912"/>
        <w:gridCol w:w="521"/>
        <w:gridCol w:w="933"/>
        <w:gridCol w:w="941"/>
      </w:tblGrid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6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7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78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7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7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58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7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75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7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7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78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78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3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39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Y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727076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4657389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719252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4688493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741302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4674238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743595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726855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4657727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719266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4688433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741423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4674436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743599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726635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4658065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719539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4688431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741434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4674402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743557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4674957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726429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4658410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4688493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741645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4674348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743561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4674955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726228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4658757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720138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4688332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741922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4674371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743560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4674951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726338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4658806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720422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4688327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742198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4674394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743556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4674952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726324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4658833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720695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4688465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742636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4674397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738644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4667247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726261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4658807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721139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4688226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4675306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738317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4667020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726220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4658939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721442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4688090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743652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4675510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734406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4663766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726168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4658896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722049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4687822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4675230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731676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4663259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726076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4659172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721905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4687377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743808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731312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4663169 </w:t>
            </w:r>
          </w:p>
        </w:tc>
      </w:tr>
      <w:tr w:rsidR="00000000">
        <w:trPr>
          <w:trHeight w:val="27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725959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4659409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722350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4687403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744016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4675176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730942 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4663110 </w:t>
            </w:r>
          </w:p>
        </w:tc>
      </w:tr>
      <w:tr w:rsidR="00000000">
        <w:trPr>
          <w:trHeight w:val="28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725813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4659799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722718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4687170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744244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4675315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747028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4670350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725771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4660044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723154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4687098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744405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4675360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734341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4675807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725807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4660111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723594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4687243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744690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4675199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727772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4670828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725783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4660296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723921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4687154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744980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4675049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728061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4670885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725699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4660533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724245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4687050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745409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4675104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729856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4671421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725543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4660759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724624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4686812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745832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4675201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743076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4674922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725402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4660949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724817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4686496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745944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4675019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743231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4675094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725176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4661317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724845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4686103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746170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4674964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743569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4671194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725396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4661414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724816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4685652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746176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4674934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749736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4670948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725709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4661558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724716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4685226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746614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4674846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750519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4671966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726071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4661757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724368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4685193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747058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4674717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751116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4672262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726366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4661871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724020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4685159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747499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4674662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719348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4688899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726816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4661978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723778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4685268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747787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4674510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751655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4673226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727261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4662106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723650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4685123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747891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4674288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740795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4669226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727707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4662229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723271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4685087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747825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4673882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718866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4682935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727811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4661806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722893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4685050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748169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4673792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721877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4687521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727686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4661601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722514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4685014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748505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4673699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721751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4687966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728045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4661314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722139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4684964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748877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4673415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720956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4688508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727856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4661269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721037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4684680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748949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4673286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726091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4670205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728137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4660966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720676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4684560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749405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4673249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730058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4674147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727980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4660921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720491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4684551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749842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4673190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721640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4675373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727906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4660721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720175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4684418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750285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4673059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727876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4661873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727945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4660708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4684285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750675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4673330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727867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4661460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727932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4660460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719536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4684168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750856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4673335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727638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4660303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727792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4660471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719212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4684056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750854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4673289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727267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4657417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727471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4660152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718734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4684101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750908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4673284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727996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4661118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727520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4660059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718256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4684145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750914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4673297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727154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4662748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727509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4659904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717799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4684274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751226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4673350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743573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4674791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727348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4659609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727706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4662281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751504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4673418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743582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4674789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727293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4659286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727601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4662857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751879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4673453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743580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4674782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727258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4659283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727147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4662908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751870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4673364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743571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4674784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727266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4659029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727026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4662896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751443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4673085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743520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4674764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727327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4658655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726892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4663154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751414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4673086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743516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4674765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727512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4658627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726841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4663309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751369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4672724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743515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4674761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727584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4658309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726739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4663486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751324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4672363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743519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4674760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727495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4658297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726649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4663691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750908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4672160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743479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4674574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727516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4657988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726605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4663774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750895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4672186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743484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4674573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727419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4657863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726448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4663864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750837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4672169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743483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4674568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727459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4657444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726338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4663976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750854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4672134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743478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4674569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719788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4675460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726276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4663885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750184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4671799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743506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4674424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719638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4675744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726011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4663772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749851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4671628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743515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4674422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719489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4676029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725863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4663905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749520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4671451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743514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4674415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719241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4677200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725585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4664040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749519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4671328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743505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4674417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719160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4677591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725378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4664223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749769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4671310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743438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4674386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719077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4677981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725303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4664495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749633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4671188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743443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4674385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718970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4678365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725033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4664590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749840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4670707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743437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4674382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718856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4678748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724632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4664655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749836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4670677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743442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4674381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718750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4679131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724564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4664543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749563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4670565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743400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4674192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718632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4679512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724494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4664531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749572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4670468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743404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4674191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718524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4679896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724482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4664482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749388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4670457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743399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4674187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718524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4680311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724122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4664442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748959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4670327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743403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4674186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718505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4680725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723989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4664775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748536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4670182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743433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4674054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718497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4680905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723783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4665146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748135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4669984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743442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4674052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718486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4681122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723622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4665580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747744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4669765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743431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4674047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718463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4681601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723504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4666027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747574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4670040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743440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4674045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718440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4682080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723439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4666485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747405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4670314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743363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4673998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718417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4682559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723444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4666701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746651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4670386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743368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4673997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718394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4683038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723260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4667024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746274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4670421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743363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4673994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718380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4683331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723196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4667467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745897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4670457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743367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4673993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718538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4683293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723093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4667890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745521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4670493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743322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4673803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718726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4683179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722898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4668103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745144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4670528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743330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4673801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718765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4683194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722791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4668319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744767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4670564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743321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4673795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718893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4683183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722628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4668596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744390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4670600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743329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4673793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719188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4682915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722484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4668786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744253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4670856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743365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4673699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719471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4682776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722484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4668863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744051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4671021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743374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4673697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719666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4682793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722681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4668893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743851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4671187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743363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4673692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719901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4682533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723055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4669013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743770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4671080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743372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4673690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720180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4682507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723414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4669084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4671307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743282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4673612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721419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4682591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723466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4668981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4671415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743294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4673609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721793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4682607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723712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4669007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4671471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743280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4673600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722166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4682624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724177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4668954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742923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4671580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743291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4673597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722241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4682205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724522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4668941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4671465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743243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4673421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722528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4681899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724804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4668958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742646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4671125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743247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4673420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722884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4681669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725158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4669026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4670799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743242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4673416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723083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4681526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725347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4669147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742759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4670758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743246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4673415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723564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4681460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725638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4669160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742267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4670799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743292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4673332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89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723563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4681440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725930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4669173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741776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4670841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743301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4673330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723960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4681385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725928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4669520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741284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4670883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743290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4673325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724358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4681330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726012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4669860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741251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4670822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743299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4673323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724756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4681281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726168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4670550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741650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4670784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743203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4673227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725153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4681227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726420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4670564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742048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4670747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743207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4673226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725551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4681173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726447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4670683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742446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4670709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679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743202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4673223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725948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4681116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726708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4670645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4670672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743206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4673222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726344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4681055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726733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4670817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4670547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743165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4673034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726742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4681000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727135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4670817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742584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4670378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743169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4673033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727139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4680945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727537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4670818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742132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4670218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743164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4673030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99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728331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4680779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727911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4670891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741892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4670195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743168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4673029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728638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4680692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728314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4670963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741629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4670169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743214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4672964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728626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4680652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728701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4671075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741502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4669816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743223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4672963 </w:t>
            </w:r>
          </w:p>
        </w:tc>
      </w:tr>
      <w:tr w:rsidR="00000000"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728826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4680361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729086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4671189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741344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4669477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743212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4672957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728994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4680093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729471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4671306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741067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4669227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743222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4672956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729047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4679866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299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730241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4671539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741040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4669293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689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743126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4672832 </w:t>
            </w:r>
          </w:p>
        </w:tc>
      </w:tr>
      <w:tr w:rsidR="00000000"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  105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728959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4679694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730372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4671488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740549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4669159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743130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4672831 </w:t>
            </w:r>
          </w:p>
        </w:tc>
      </w:tr>
      <w:tr w:rsidR="00000000">
        <w:trPr>
          <w:trHeight w:val="27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729031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4679505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730275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4671858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740506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4669104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743125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4672827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728878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4679187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730066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4672079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740329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4669079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743130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4672826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728911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4678701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729890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4672378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740316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4669107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743147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4672588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729251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4678560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729913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4672737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740219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4669092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743156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4672586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729297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4678309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729907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4673096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740226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4669054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743145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4672581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729105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4678258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730108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4673379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740079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4668933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743154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4672579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729146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4678102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730283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4673676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739900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4668896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743088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4672636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728947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4678039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730236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4673945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739697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4668576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743093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4672635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728726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4678041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730179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4674261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739409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4668560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699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743092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4672631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728760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4677837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729738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4674145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739357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4668874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743088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4672632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728021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4677589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729664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4674600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738915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4669039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743048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4672436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727651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4677465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729397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4674817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738789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4669022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743053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4672435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727281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4677341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729300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4674954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738769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4668884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743047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4672432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119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726911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4677217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729321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4675068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739036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4668819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743052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4672431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726680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4677297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729405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4675086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739272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4668701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743066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4672195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725673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4676746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729521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4675500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739264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4668623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743075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4672193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725336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4676566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729654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4675905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739222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4668569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743065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4672188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724997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4676389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729928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4676161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739308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4668396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743074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4672186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724657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4676212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730247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4676359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739368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4668414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709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743008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4672239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724318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4676036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730619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4676394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739442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4668111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743012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4672238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723970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4675878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730884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4676390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739396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4668090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743011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4672233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723616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4675734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730888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4676372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739439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4668007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743007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4672234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723261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4675591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731048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4676352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739478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4668016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742965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4672045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129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723430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4675200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731047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4676321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739512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4667963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742969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4672044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723029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4674912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731187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4676276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739625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4667930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742964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4672040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722806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4674900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731166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4676202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737987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4666796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742968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4672039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722206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4675242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731372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4676126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737657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4666572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742991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4671843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721890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4675379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731518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4676004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737328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4666348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743000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4671841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721391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4675362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731688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4676031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736998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4666125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742999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4671834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721216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4675400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731746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4675997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736669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4665901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742990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4671836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721189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4675494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731851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4676020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736339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4665677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742930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4671843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720702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4675523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731970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4675968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736010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4665453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742926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4671844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720226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4675524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731993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4675985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735677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4665233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742925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4671840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139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717348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4684411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732288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4675714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735362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4665014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742929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4671839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717227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4684774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732591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4675453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735325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4664651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742884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4671636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717136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4685148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732948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4675283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735031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4664469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742888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4671636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717044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4685522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733349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4675250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734856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4664154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742883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4671632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716953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4685897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733748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4675283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734605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4663873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742887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4671631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716861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4686271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734082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4675501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734250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4663827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736418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4667811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716769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4686645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734541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4676156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733883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4663915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716971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4676726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716661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4687015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734817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4675975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733507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4663794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717250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4676798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716527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4687376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735111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4676286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733147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4663623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717956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4676282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716386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4687735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735167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4676285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732788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4663452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718634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4676126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149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716245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4688094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735420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4676490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732417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4663389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719168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4675538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716104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4688452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735724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4676595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732046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4663327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719826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4675349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715963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4688811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735681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4676556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730573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4663044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721090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4675254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715827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4689172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735855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4676550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730212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4662941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722004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4675208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715755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4689384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735845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4676487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729846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4662849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722798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4674740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715618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4689822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735772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4676470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729485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4662746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722816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4674760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715479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4690274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735773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4676456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729118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4662659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722654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4674567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714833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4692088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736071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4676375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728754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4662563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722631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4674579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715034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4692152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736004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4676271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729485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4662746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722623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4674572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4692435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736014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4676125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729118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4662659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722192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4674911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159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714699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4693254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736143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4676100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728754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4662563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721936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4675008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714267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4693315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736171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4675783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728390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4662466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721118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4675095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714201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4693456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736068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4675380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728026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4662370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720571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4675077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714610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4693474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736092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4675170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714885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4692862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719911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4675164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4693435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736379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4675163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740900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4674157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719878.7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4675168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4693487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736671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726268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4670529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719874.8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4675181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715355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4693390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736671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4675114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726282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4670594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719617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4675163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715798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4693341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736780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4675046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742852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4674876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719268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4675164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715676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4693000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736699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4675002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742611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4674462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717766.9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4676027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715628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4692548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736671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4675114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742738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4674598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718497.8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4675576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169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715931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4692286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736780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4675046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737943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4673760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718015.1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4675744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716252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4692248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736699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4675002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727537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4680890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716986.7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4676243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716411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4691865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736699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4674970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727934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4680835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717276.7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4675350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716587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4691962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736806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4674933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719324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4676810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717210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4675342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716855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4691624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736881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4674873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719406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4676419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719841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4675349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716953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4691160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737021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4674699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726010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4676927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759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719836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4675184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716809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4691011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737178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4674567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726347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4677108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719824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4675184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716790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4690679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737269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4674368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722511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4675079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3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3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5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722796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2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4674741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716918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4690552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737227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4674334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720672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4682558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715146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4690525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717154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4690545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737385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4674145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720340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4682503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715018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4690801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179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717003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4690156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737630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4674068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720506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4682550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714992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4690793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716959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4690001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737573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4673910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721045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4682574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714985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4690812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717298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4689885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737755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4673806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715365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4690642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715011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4690819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717356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4689630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738176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4673776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715246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4691009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715172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4690508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717680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4689753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738522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4674003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4691372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715178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4690512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717962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4689825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738816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4674294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4691748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769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715177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4690532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718234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4689534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739167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4674526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721767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4684889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770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715153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4690604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718305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4689489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739535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4674711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721397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4684801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771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715143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4690624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718588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4689492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739944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4674794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728390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4677713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715127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4690630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718840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4689343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739959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4674698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739299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4667701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773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715024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4690847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189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719230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4689231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740055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4674695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738971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4667475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774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714955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4690997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719343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4689156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740126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4674427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743644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4675157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775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714947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4690984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719354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4688642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740359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4674417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743653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4675156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776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714971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4690914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719228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4688604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740646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4674456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743652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4675149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714965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4690956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719062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4688665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740852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4674388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743643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4675150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778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86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715002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0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4690915 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719065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4688616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740827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4674149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4675143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34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195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2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2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719112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4688603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0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390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740880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4674092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6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585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2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743594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1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7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4675144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</w:t>
            </w:r>
          </w:p>
        </w:tc>
      </w:tr>
    </w:tbl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(19.06.2012 N 6505)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(17.02.2016 N 4737)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ფართობია</w:t>
      </w:r>
      <w:r>
        <w:rPr>
          <w:rFonts w:ascii="Sylfaen" w:eastAsia="Times New Roman" w:hAnsi="Sylfaen" w:cs="Sylfaen"/>
          <w:lang w:eastAsia="x-none"/>
        </w:rPr>
        <w:t xml:space="preserve"> 316,4 </w:t>
      </w:r>
      <w:r>
        <w:rPr>
          <w:rFonts w:ascii="Sylfaen" w:eastAsia="Times New Roman" w:hAnsi="Sylfaen" w:cs="Sylfaen"/>
          <w:lang w:eastAsia="x-none"/>
        </w:rPr>
        <w:t>ჰექტარი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67"/>
        <w:gridCol w:w="960"/>
        <w:gridCol w:w="997"/>
        <w:gridCol w:w="596"/>
        <w:gridCol w:w="937"/>
        <w:gridCol w:w="997"/>
        <w:gridCol w:w="475"/>
        <w:gridCol w:w="932"/>
        <w:gridCol w:w="997"/>
        <w:gridCol w:w="623"/>
        <w:gridCol w:w="919"/>
        <w:gridCol w:w="997"/>
      </w:tblGrid>
      <w:tr w:rsidR="000000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732036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733883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4637943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733450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731617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4638261</w:t>
            </w:r>
          </w:p>
        </w:tc>
      </w:tr>
      <w:tr w:rsidR="000000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732316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732986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4638983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731645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4639166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731532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4638338</w:t>
            </w:r>
          </w:p>
        </w:tc>
      </w:tr>
      <w:tr w:rsidR="000000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732595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734137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4637877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732775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731497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4638564</w:t>
            </w:r>
          </w:p>
        </w:tc>
      </w:tr>
      <w:tr w:rsidR="000000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733328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4638247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734331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4637407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731858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733276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4638249</w:t>
            </w:r>
          </w:p>
        </w:tc>
      </w:tr>
      <w:tr w:rsidR="000000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733336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734025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731666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733296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4638352</w:t>
            </w:r>
          </w:p>
        </w:tc>
      </w:tr>
      <w:tr w:rsidR="0000000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733512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4637987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733467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731513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4638704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</w:tr>
    </w:tbl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ფართობია</w:t>
      </w:r>
      <w:r>
        <w:rPr>
          <w:rFonts w:ascii="Sylfaen" w:eastAsia="Times New Roman" w:hAnsi="Sylfaen" w:cs="Sylfaen"/>
          <w:lang w:eastAsia="x-none"/>
        </w:rPr>
        <w:t xml:space="preserve"> 466,3 </w:t>
      </w:r>
      <w:r>
        <w:rPr>
          <w:rFonts w:ascii="Sylfaen" w:eastAsia="Times New Roman" w:hAnsi="Sylfaen" w:cs="Sylfaen"/>
          <w:lang w:eastAsia="x-none"/>
        </w:rPr>
        <w:t>ჰექტარი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68"/>
        <w:gridCol w:w="993"/>
        <w:gridCol w:w="997"/>
        <w:gridCol w:w="562"/>
        <w:gridCol w:w="909"/>
        <w:gridCol w:w="996"/>
        <w:gridCol w:w="504"/>
        <w:gridCol w:w="900"/>
        <w:gridCol w:w="996"/>
        <w:gridCol w:w="656"/>
        <w:gridCol w:w="882"/>
        <w:gridCol w:w="986"/>
      </w:tblGrid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Y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4639866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733975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4636367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734171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4637871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731765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733901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734253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4637907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733206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733816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731445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4639699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734257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733763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4638665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734344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733713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4636448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4639596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734335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733659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4638282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734438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733598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731394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4637886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734546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4637654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733570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4636394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731474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732045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4639333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734538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731548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4637961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732982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4638991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734596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733222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4636214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731574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4638178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732751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4639012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734595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4637530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733157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731399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732634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4638985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734496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4637475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733107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4635699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731408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4638283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732523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4639093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734412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4637393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732727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4635741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732286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4639224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734248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4637258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732767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4636179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732131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4639291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734086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732817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732425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4639100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734062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4637063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732728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4638287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732871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4638986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734321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4636935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732354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4636495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733338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4638246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734201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4636681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732233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4638348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733353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4638109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734058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4636706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731815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4638983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733531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4637988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734146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731437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731209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733431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4638054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734097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731059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4636483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4639360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733331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4638188</w:t>
            </w: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734009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4636598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731079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4636829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733747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</w:tr>
      <w:tr w:rsidR="0000000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734040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4636431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731100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4637175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734109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  <w:t>4638153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556D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000000"/>
                <w:sz w:val="20"/>
                <w:szCs w:val="20"/>
                <w:lang w:eastAsia="x-none"/>
              </w:rPr>
            </w:pPr>
          </w:p>
        </w:tc>
      </w:tr>
    </w:tbl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spacing w:line="20" w:lineRule="atLeast"/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(13.10.2011. N5128)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ტერიტორიების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მოეწყოს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გამოიყოს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2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(1.07.2005 N 1878)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2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2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ონა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-11–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ხელუხლებელი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</w:t>
      </w:r>
      <w:r>
        <w:rPr>
          <w:rFonts w:ascii="Sylfaen" w:eastAsia="Times New Roman" w:hAnsi="Sylfaen" w:cs="Sylfaen"/>
          <w:lang w:eastAsia="x-none"/>
        </w:rPr>
        <w:t>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უმოტორო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პატრონობისა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</w:t>
      </w:r>
      <w:r>
        <w:rPr>
          <w:rFonts w:ascii="Sylfaen" w:eastAsia="Times New Roman" w:hAnsi="Sylfaen" w:cs="Sylfaen"/>
          <w:lang w:eastAsia="x-none"/>
        </w:rPr>
        <w:t>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ეკოტურიზმი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უმოტორო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ანთროპოგენური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აღდგენისათვის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უმოტორო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აღდგენი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ვითმყოფადი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თიბვა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მერქნის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ეკოტურიზმი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ტურისტული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ქვეითად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ნიჩბიანი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ელექტროძრავიანი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ნავით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</w:t>
      </w:r>
      <w:r>
        <w:rPr>
          <w:rFonts w:ascii="Sylfaen" w:eastAsia="Times New Roman" w:hAnsi="Sylfaen" w:cs="Sylfaen"/>
          <w:lang w:eastAsia="x-none"/>
        </w:rPr>
        <w:t>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ავტომოტო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ტრადიციული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ვიზიტორთა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-14, 15</w:t>
      </w:r>
      <w:r>
        <w:rPr>
          <w:rFonts w:ascii="Times New Roman" w:eastAsia="Times New Roman" w:hAnsi="Times New Roman" w:cs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-18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ფუნქციონალური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რეკრეაციისა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რეკრეაციის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ტურიზმი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</w:t>
      </w:r>
      <w:r>
        <w:rPr>
          <w:rFonts w:ascii="Sylfaen" w:eastAsia="Times New Roman" w:hAnsi="Sylfaen" w:cs="Sylfaen"/>
          <w:lang w:eastAsia="x-none"/>
        </w:rPr>
        <w:t>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კონსერვაცია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უმოტორო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</w:t>
      </w:r>
      <w:r>
        <w:rPr>
          <w:rFonts w:ascii="Sylfaen" w:eastAsia="Times New Roman" w:hAnsi="Sylfaen" w:cs="Sylfaen"/>
          <w:lang w:eastAsia="x-none"/>
        </w:rPr>
        <w:t>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განსათავსებლად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ტურიზმი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</w:t>
      </w:r>
      <w:r>
        <w:rPr>
          <w:rFonts w:ascii="Sylfaen" w:eastAsia="Times New Roman" w:hAnsi="Sylfaen" w:cs="Sylfaen"/>
          <w:lang w:eastAsia="x-none"/>
        </w:rPr>
        <w:t>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დინამიკურ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ხელუხლებელ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ქობულეთის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>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უმოტორო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ბიოცენოზების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ავტომ</w:t>
      </w:r>
      <w:r>
        <w:rPr>
          <w:rFonts w:ascii="Sylfaen" w:eastAsia="Times New Roman" w:hAnsi="Sylfaen" w:cs="Sylfaen"/>
          <w:lang w:val="en-US"/>
        </w:rPr>
        <w:t>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</w:t>
      </w:r>
      <w:r>
        <w:rPr>
          <w:rFonts w:ascii="Sylfaen" w:eastAsia="Times New Roman" w:hAnsi="Sylfaen" w:cs="Sylfaen"/>
          <w:lang w:eastAsia="x-none"/>
        </w:rPr>
        <w:t>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უმოტორო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ბილიკები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ხიდები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ვიზიტორთა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განახლებადი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(25.03.2013. N480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8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დაშვებული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პროგრამები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-13_18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-20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>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საზოგადოებრიობის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>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 (13.10.2011. N5128)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(19.06.2012 N 6505)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(18.12.2007 N5631)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ოლში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ხანძარსაწინააღმდეგო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</w:t>
      </w:r>
      <w:r>
        <w:rPr>
          <w:rFonts w:ascii="Sylfaen" w:eastAsia="Times New Roman" w:hAnsi="Sylfaen" w:cs="Sylfaen"/>
          <w:lang w:eastAsia="x-none"/>
        </w:rPr>
        <w:t>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შემოიფარგლება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V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</w:t>
      </w:r>
      <w:r>
        <w:rPr>
          <w:rFonts w:ascii="Sylfaen" w:eastAsia="Times New Roman" w:hAnsi="Sylfaen" w:cs="Sylfaen"/>
          <w:lang w:eastAsia="x-none"/>
        </w:rPr>
        <w:t>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(30.04.2014 N 2311)</w:t>
      </w:r>
    </w:p>
    <w:p w:rsidR="00000000" w:rsidRDefault="004556DD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III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IV </w:t>
      </w:r>
      <w:r>
        <w:rPr>
          <w:rFonts w:ascii="Sylfaen" w:eastAsia="Times New Roman" w:hAnsi="Sylfaen" w:cs="Sylfaen"/>
          <w:lang w:eastAsia="x-none"/>
        </w:rPr>
        <w:t>თავებით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სამენეჯმენტო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</w:t>
      </w:r>
      <w:r>
        <w:rPr>
          <w:rFonts w:ascii="Sylfaen" w:eastAsia="Times New Roman" w:hAnsi="Sylfaen" w:cs="Sylfaen"/>
          <w:lang w:eastAsia="x-none"/>
        </w:rPr>
        <w:t>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(07.12.2017 N1656)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</w:t>
      </w:r>
      <w:r>
        <w:rPr>
          <w:rFonts w:ascii="Sylfaen" w:eastAsia="Times New Roman" w:hAnsi="Sylfaen" w:cs="Sylfaen"/>
          <w:lang w:eastAsia="x-none"/>
        </w:rPr>
        <w:t>ეობაზე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t>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(13.10.2011. N5128)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(18.12.2007 N5631)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ტერიტორიების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ფუნ</w:t>
      </w:r>
      <w:r>
        <w:rPr>
          <w:rFonts w:ascii="Sylfaen" w:eastAsia="Times New Roman" w:hAnsi="Sylfaen" w:cs="Sylfaen"/>
          <w:b/>
          <w:bCs/>
          <w:lang w:eastAsia="x-none"/>
        </w:rPr>
        <w:t>ქციონირების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მექანიზმები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(18.12.2007 N5631)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სტიმულირება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სტიმულირება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რესურსების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ტერიტორიებზე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</w:t>
      </w:r>
      <w:r>
        <w:rPr>
          <w:rFonts w:ascii="Sylfaen" w:eastAsia="Times New Roman" w:hAnsi="Sylfaen" w:cs="Sylfaen"/>
          <w:lang w:eastAsia="x-none"/>
        </w:rPr>
        <w:t>ელდება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37-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_42-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სათიბი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საძოვარი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თიბვისა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_”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“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უნიკალური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პალეონტოლოგიური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არქეოლოგიური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მეტეორიტების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ესთეტიკური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_ “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</w:t>
      </w:r>
      <w:r>
        <w:rPr>
          <w:rFonts w:ascii="Sylfaen" w:eastAsia="Times New Roman" w:hAnsi="Sylfaen" w:cs="Sylfaen"/>
          <w:lang w:eastAsia="x-none"/>
        </w:rPr>
        <w:t>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ნადირობა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თევზჭერა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უხერხემლოთა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ძუძუმწოვართა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</w:t>
      </w:r>
      <w:r>
        <w:rPr>
          <w:rFonts w:ascii="Sylfaen" w:eastAsia="Times New Roman" w:hAnsi="Sylfaen" w:cs="Sylfaen"/>
          <w:lang w:eastAsia="x-none"/>
        </w:rPr>
        <w:t>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სალიკვიდაციო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გადარჩენის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გენოფონდის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ვეტერინარული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დაჭერა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(06.06.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2003 N2371)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</w:t>
      </w:r>
      <w:r>
        <w:rPr>
          <w:rFonts w:ascii="Sylfaen" w:eastAsia="Times New Roman" w:hAnsi="Sylfaen" w:cs="Sylfaen"/>
          <w:lang w:eastAsia="x-none"/>
        </w:rPr>
        <w:t>ავსებელია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აერთიანებული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 (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_ “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პერსპექტიული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ყალიბდება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ქვეპ</w:t>
      </w:r>
      <w:r>
        <w:rPr>
          <w:rFonts w:ascii="Sylfaen" w:eastAsia="Times New Roman" w:hAnsi="Sylfaen" w:cs="Sylfaen"/>
          <w:lang w:eastAsia="x-none"/>
        </w:rPr>
        <w:t>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მცენარეული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42. </w:t>
      </w:r>
      <w:r>
        <w:rPr>
          <w:rFonts w:ascii="Sylfaen" w:eastAsia="Times New Roman" w:hAnsi="Sylfaen" w:cs="Sylfaen"/>
          <w:lang w:eastAsia="x-none"/>
        </w:rPr>
        <w:t>რეკრეაციული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რეკრეაციული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რეკრეაციული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ვიზიტორთა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გაანგარიშების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</w:t>
      </w:r>
      <w:r>
        <w:rPr>
          <w:rFonts w:ascii="Sylfaen" w:eastAsia="Times New Roman" w:hAnsi="Sylfaen" w:cs="Sylfaen"/>
          <w:lang w:eastAsia="x-none"/>
        </w:rPr>
        <w:t>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სამეურნეო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ტერიტორიებზე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43. </w:t>
      </w:r>
      <w:r>
        <w:rPr>
          <w:rFonts w:ascii="Sylfaen" w:eastAsia="Times New Roman" w:hAnsi="Sylfaen" w:cs="Sylfaen"/>
          <w:lang w:eastAsia="x-none"/>
        </w:rPr>
        <w:t>გარემოსდაცვითი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(23.05.2007 N 4791)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</w:t>
      </w:r>
      <w:r>
        <w:rPr>
          <w:rFonts w:ascii="Sylfaen" w:eastAsia="Times New Roman" w:hAnsi="Sylfaen" w:cs="Sylfaen"/>
          <w:lang w:eastAsia="x-none"/>
        </w:rPr>
        <w:t>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ხელშეკრულებები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ქსელებში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რეზერვატები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რამსარის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ჭარბტენიანი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რამსარის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კოლხეთის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               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ყიდვა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გაყიდვის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უზუფრუქტის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აღნაგობის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ქირავნობის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გაჩუქების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მემკვიდრეობით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იპოთეკისა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-13_18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მიწებზე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sz w:val="20"/>
          <w:szCs w:val="20"/>
          <w:lang w:eastAsia="x-none"/>
        </w:rPr>
        <w:t xml:space="preserve">(09.09.99 N 2407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N 43(50))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3.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ჩაბარე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სამიწათმოწყობო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მიწათსარგებლობა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</w:t>
      </w:r>
      <w:r>
        <w:rPr>
          <w:rFonts w:ascii="Sylfaen" w:eastAsia="Times New Roman" w:hAnsi="Sylfaen" w:cs="Sylfaen"/>
          <w:lang w:eastAsia="x-none"/>
        </w:rPr>
        <w:t>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იბარებს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ნაკრძალებისა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5.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გეოდეზიური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</w:t>
      </w:r>
      <w:r>
        <w:rPr>
          <w:rFonts w:ascii="Sylfaen" w:eastAsia="Times New Roman" w:hAnsi="Sylfaen" w:cs="Sylfaen"/>
          <w:lang w:eastAsia="x-none"/>
        </w:rPr>
        <w:t>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XIII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(18.12.2007 N5631)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>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გამიჯვნის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სამიწათმოწყობო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</w:t>
      </w:r>
      <w:r>
        <w:rPr>
          <w:rFonts w:ascii="Sylfaen" w:eastAsia="Times New Roman" w:hAnsi="Sylfaen" w:cs="Sylfaen"/>
          <w:lang w:eastAsia="x-none"/>
        </w:rPr>
        <w:t>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“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”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</w:t>
      </w:r>
      <w:r>
        <w:rPr>
          <w:rFonts w:ascii="Sylfaen" w:eastAsia="Times New Roman" w:hAnsi="Sylfaen" w:cs="Sylfaen"/>
          <w:lang w:eastAsia="x-none"/>
        </w:rPr>
        <w:t>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, ”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იჯარით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 N 446 </w:t>
      </w:r>
      <w:r>
        <w:rPr>
          <w:rFonts w:ascii="Sylfaen" w:eastAsia="Times New Roman" w:hAnsi="Sylfaen" w:cs="Sylfaen"/>
          <w:lang w:eastAsia="x-none"/>
        </w:rPr>
        <w:t>ბრძანებულებით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სატყეო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(27.06.2008 N 89)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Times New Roman" w:eastAsia="Times New Roman" w:hAnsi="Times New Roman" w:cs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2024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>.-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თხევად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საწვავზე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მომუშავე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შიგაწვისძრავიანი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(30.05.2019 N4723)</w:t>
      </w:r>
    </w:p>
    <w:p w:rsidR="00000000" w:rsidRDefault="004556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Times New Roman" w:eastAsia="Times New Roman" w:hAnsi="Times New Roman" w:cs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2024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</w:t>
      </w:r>
      <w:r>
        <w:rPr>
          <w:rFonts w:ascii="Sylfaen" w:eastAsia="Times New Roman" w:hAnsi="Sylfaen" w:cs="Sylfaen"/>
          <w:lang w:val="en-US"/>
        </w:rPr>
        <w:t>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თხევად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საწვავზე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მომუშავე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შიგაწვისძრავიანი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(13.07.2020 N6752)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(23.05.2007 N 4791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51.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შექმნასთან</w:t>
      </w:r>
      <w:r>
        <w:rPr>
          <w:rFonts w:ascii="Sylfaen" w:eastAsia="Times New Roman" w:hAnsi="Sylfaen" w:cs="Sylfaen"/>
          <w:lang w:eastAsia="x-none"/>
        </w:rPr>
        <w:t xml:space="preserve">  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კოლხეთის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(25.03.2013. N480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3.05.2007 N 4791)</w:t>
      </w:r>
      <w:r>
        <w:rPr>
          <w:rFonts w:ascii="Sylfaen" w:hAnsi="Sylfaen" w:cs="Sylfaen"/>
          <w:lang w:eastAsia="x-none"/>
        </w:rPr>
        <w:tab/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გამოიცეს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ნაწილი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XIV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556DD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უწყებანი</w:t>
      </w:r>
      <w:r>
        <w:rPr>
          <w:rFonts w:ascii="Sylfaen" w:eastAsia="Times New Roman" w:hAnsi="Sylfaen" w:cs="Sylfaen"/>
          <w:lang w:eastAsia="x-none"/>
        </w:rPr>
        <w:t xml:space="preserve">, 1996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003)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54.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556D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1720 -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455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56DD"/>
    <w:rsid w:val="004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9618</Words>
  <Characters>54829</Characters>
  <Application>Microsoft Office Word</Application>
  <DocSecurity>0</DocSecurity>
  <Lines>456</Lines>
  <Paragraphs>128</Paragraphs>
  <ScaleCrop>false</ScaleCrop>
  <Company/>
  <LinksUpToDate>false</LinksUpToDate>
  <CharactersWithSpaces>64319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